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市场监督管理局</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监督管理局202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根据《香河县市场监管局职能配置、内设机构和人员编制规定》， 香河县市场监管局的主要职责是：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负责全县市场综合监督管理。贯彻落实市场监督管理和药品监督管理有关法律法规规章，起草全县市场监督管理有关地方政府规章草案，制定有关政策、标准，组织实施质量强县战略、食品安全战略、标准化战略、知识产权战略，拟订并组织实施有关规划，规范和维护市场秩序，营造诚实守信、公平竞争的市场环境。</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（二）负责建立和完善全县市场主体信息公示和共享机制，依法公示和共享有关信息，加强信用监管，推动市场主体信用体系建设。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负责组织和指导全县市场监管综合执法工作。指导全县市场监管综合执法队伍整合和建设，推动实行统一的市场监管。组织查处重大违法案件。规范市场监管行政执法行为。承担县“双随机一公开”监管工作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（四）负责反垄断统一执法。组织推进竞争政策实施，指导实施公平竞争审查制度。依法对经营者集中行为进行反垄断审查，负责垄断协议、滥用市场支配地位和滥用行政权力排除、限制竞争等反垄断执法工作。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承担县散煤治理工作领导小组办公室日常工作。承担县打击传销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承担县质量强县战略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（七）负责全县产品质量安全监督管理。承担县级产品质量安全风险监控、监督抽查工作。组织实施质量分级制度、质量安全追溯制度。实施工业产品生产许可管理。负责棉花等纤维质量监督工作。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（八）负责全县特种设备安全监督管理。综合管理特种设备安全监察、监督工作，监督检查高耗能特种设备节能标准和锅炉环境保护标准的执行情况。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负责食品安全监督管理综合协调。组织制定并实施全县食品安全重大政策。推动健全食品安全地方党政同责和跨部门协调联动机制。负责食品安全应急体系建设，组织指导全县重大食品安全事件应急处置和调查处理工作，建立健全食品安全信息统一公布和重要信息直报制度。承担县食品安全委员会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指导重大活动食品安全保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药品（含中药、民族药，下同）、医疗器械和化妆品安全监督管理。贯彻执行国家、省、市药品、医疗器械和化妆品法律法规，以及鼓励药品、医疗器械和化妆品新技术新产品的管理与服务政策。配合实施国家基本药物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（十二）负责药品、医疗器械和化妆品质量管理。监督和指导实施生产质量管理规范和经营质量管理规范。</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药品、医疗器械和化妆品上市后风险管理。建立健全全县药品不良反应、医疗器械不良事件、化妆品不良反应和药物滥用监测体系，并开展监测、评价和处置工作。依法承担药品、医疗器械和化妆品安全应急管理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（十四）负责组织和指导药品、医疗器械和化妆品监督检查。负责依法查处药品零售、医疗器械经营、化妆品经营和药品、医疗器械使用环节的违法行为。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(十五) 负责组织开展药品、医疗器械和化妆品安全宣传、教育培训。推进诚信体系建设。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（十六）负责贯彻上级药品监督管理工作部署，推动落实药品、医疗器械和化妆品安全企业主体责任，履行党政同责，组织实施药品、医疗器械和化妆品安全考核。</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（十七）推进全县药品、医疗器械和化妆品安全监管信息化建设。完善全县药品、医疗器械和化妆品安全信息统一公布制度和重大信息直报制度，公布重大安全信息。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（十八）负责统一管理全县计量工作。推行法定计量单位和国家计量制度，管理计量器具及量值传递和比对工作。规范、监督商品量和市场计量行为。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（十九）负责统一管理全县标准化工作。宣传贯彻强制性、推荐性国家标准和行业标准、地方标准。依法协调指导和监督团体标准、企业标准制定工作。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（二十）负责统一管理全县检验检测工作。推进检验检测机构整合和改革，规范检验检测市场，完善检验检测体系，指导协调检验检测行业发展。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（二十一）负责统一管理、监督和协调全县认证认可工作。组织贯彻实施国家统一的认证认可和合格评定监督管理制度。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负责推进全县知识产权管理工作。贯彻落实加强知识产权强县建设的重大方针政策和发展规划。拟订和实施强化知识产权创造、保护和运用的政策和制度。承担县知识产权战略实施工作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负责保护知识产权。组织起草严格保护商标、专利、原产地地理标志、集成电路布图设计等相关规范性文件并监督实施。按照国家和省知识产权保护体系建设方案，推动建设知识产权保护体系。开展商标、专利执法工作，负责知识产权争议处理、维权援助和纠纷调处工作。参与、协调京津冀知识产权执法协作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（二十四）负责促进知识产权运用工作。拟订知识产权运用和规范交易的政策，促进知识产权转移转化。规范知识产权无形资产评估工作。贯彻实施知识产权中介服务发展与监管的政策措施。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（二十五）负责建立知识产权公共服务体系。开展县级专利信息服务工作，建设便企利民、互联互通的全县知识产权信息公共服务平台，推动商标、专利等知识产权信息的传播利用。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（二十六）按规定承担国家知识产权局知识产权代办工作任务。组织实施原产地地理标志统一认定制度。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（二十七）负责全县市场监督管理科技和信息化建设、新闻宣传、对外交流与合作。按规定负责统筹协调涉外知识产权事宜，承担知识产权对外转让审查工作。</w:t>
      </w:r>
    </w:p>
    <w:p>
      <w:pPr>
        <w:spacing w:line="584" w:lineRule="exact"/>
        <w:ind w:firstLine="640" w:firstLineChars="200"/>
        <w:rPr>
          <w:rFonts w:eastAsia="方正仿宋_GBK"/>
          <w:sz w:val="28"/>
        </w:rPr>
      </w:pPr>
      <w:r>
        <w:rPr>
          <w:rFonts w:hint="eastAsia" w:ascii="Times New Roman" w:hAnsi="Times New Roman" w:eastAsia="仿宋_GB2312" w:cs="Times New Roman"/>
          <w:sz w:val="32"/>
          <w:szCs w:val="32"/>
        </w:rPr>
        <w:t>（二十八）完成县委、县政府交办的其他任务。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60"/>
        <w:gridCol w:w="1817"/>
        <w:gridCol w:w="1554"/>
        <w:gridCol w:w="26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60" w:type="dxa"/>
            <w:vMerge w:val="restart"/>
            <w:shd w:val="clear" w:color="auto" w:fill="auto"/>
            <w:vAlign w:val="center"/>
          </w:tcPr>
          <w:p>
            <w:pPr>
              <w:spacing w:line="584"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单位名称</w:t>
            </w:r>
          </w:p>
        </w:tc>
        <w:tc>
          <w:tcPr>
            <w:tcW w:w="1817" w:type="dxa"/>
            <w:vMerge w:val="restart"/>
            <w:shd w:val="clear" w:color="auto" w:fill="auto"/>
            <w:vAlign w:val="center"/>
          </w:tcPr>
          <w:p>
            <w:pPr>
              <w:spacing w:line="584"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单位性质</w:t>
            </w:r>
          </w:p>
        </w:tc>
        <w:tc>
          <w:tcPr>
            <w:tcW w:w="1554" w:type="dxa"/>
            <w:vMerge w:val="restart"/>
            <w:shd w:val="clear" w:color="auto" w:fill="auto"/>
            <w:vAlign w:val="center"/>
          </w:tcPr>
          <w:p>
            <w:pPr>
              <w:spacing w:line="584"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单位规格</w:t>
            </w:r>
          </w:p>
        </w:tc>
        <w:tc>
          <w:tcPr>
            <w:tcW w:w="2624" w:type="dxa"/>
            <w:vMerge w:val="restart"/>
            <w:shd w:val="clear" w:color="auto" w:fill="auto"/>
            <w:vAlign w:val="center"/>
          </w:tcPr>
          <w:p>
            <w:pPr>
              <w:spacing w:line="584"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blHeader/>
          <w:jc w:val="center"/>
        </w:trPr>
        <w:tc>
          <w:tcPr>
            <w:tcW w:w="3760" w:type="dxa"/>
            <w:vMerge w:val="continue"/>
            <w:shd w:val="clear" w:color="auto" w:fill="auto"/>
            <w:vAlign w:val="center"/>
          </w:tcPr>
          <w:p/>
        </w:tc>
        <w:tc>
          <w:tcPr>
            <w:tcW w:w="1817" w:type="dxa"/>
            <w:vMerge w:val="continue"/>
            <w:shd w:val="clear" w:color="auto" w:fill="auto"/>
            <w:vAlign w:val="center"/>
          </w:tcPr>
          <w:p/>
        </w:tc>
        <w:tc>
          <w:tcPr>
            <w:tcW w:w="1554" w:type="dxa"/>
            <w:vMerge w:val="continue"/>
            <w:shd w:val="clear" w:color="auto" w:fill="auto"/>
            <w:vAlign w:val="center"/>
          </w:tcPr>
          <w:p/>
        </w:tc>
        <w:tc>
          <w:tcPr>
            <w:tcW w:w="262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0" w:hRule="atLeast"/>
          <w:jc w:val="center"/>
        </w:trPr>
        <w:tc>
          <w:tcPr>
            <w:tcW w:w="3760" w:type="dxa"/>
            <w:shd w:val="clear" w:color="auto" w:fill="auto"/>
            <w:vAlign w:val="center"/>
          </w:tcPr>
          <w:p>
            <w:pPr>
              <w:spacing w:line="300" w:lineRule="exact"/>
              <w:jc w:val="left"/>
              <w:rPr>
                <w:rFonts w:ascii="方正书宋_GBK" w:eastAsia="方正书宋_GBK"/>
                <w:sz w:val="28"/>
                <w:szCs w:val="28"/>
              </w:rPr>
            </w:pPr>
            <w:r>
              <w:rPr>
                <w:rFonts w:hint="eastAsia" w:ascii="方正书宋_GBK" w:eastAsia="方正书宋_GBK"/>
                <w:sz w:val="28"/>
                <w:szCs w:val="28"/>
              </w:rPr>
              <w:t>香河县市场监督管理局</w:t>
            </w:r>
          </w:p>
        </w:tc>
        <w:tc>
          <w:tcPr>
            <w:tcW w:w="1817" w:type="dxa"/>
            <w:shd w:val="clear" w:color="auto" w:fill="auto"/>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rPr>
              <w:t>行政</w:t>
            </w:r>
          </w:p>
        </w:tc>
        <w:tc>
          <w:tcPr>
            <w:tcW w:w="1554" w:type="dxa"/>
            <w:shd w:val="clear" w:color="auto" w:fill="auto"/>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rPr>
              <w:t>正科级</w:t>
            </w:r>
          </w:p>
        </w:tc>
        <w:tc>
          <w:tcPr>
            <w:tcW w:w="2624" w:type="dxa"/>
            <w:shd w:val="clear" w:color="auto" w:fill="auto"/>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w:t>
      </w:r>
    </w:p>
    <w:p>
      <w:pPr>
        <w:spacing w:line="584" w:lineRule="exact"/>
        <w:ind w:firstLine="640"/>
        <w:rPr>
          <w:rFonts w:hint="eastAsia" w:ascii="楷体" w:hAnsi="楷体" w:eastAsia="楷体" w:cs="楷体"/>
          <w:b/>
          <w:bCs w:val="0"/>
          <w:sz w:val="32"/>
          <w:szCs w:val="32"/>
        </w:rPr>
      </w:pPr>
      <w:r>
        <w:rPr>
          <w:rFonts w:hint="eastAsia" w:ascii="楷体" w:hAnsi="楷体" w:eastAsia="楷体" w:cs="楷体"/>
          <w:b/>
          <w:bCs w:val="0"/>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5753.14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5753.14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hint="eastAsia" w:ascii="楷体" w:hAnsi="楷体" w:eastAsia="楷体" w:cs="楷体"/>
          <w:b/>
          <w:bCs w:val="0"/>
          <w:sz w:val="32"/>
          <w:szCs w:val="32"/>
        </w:rPr>
      </w:pPr>
      <w:r>
        <w:rPr>
          <w:rFonts w:hint="eastAsia" w:ascii="楷体" w:hAnsi="楷体" w:eastAsia="楷体" w:cs="楷体"/>
          <w:b/>
          <w:bCs w:val="0"/>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 xml:space="preserve">5753.14 </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4225.62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3946.94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278.68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1527.52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均为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rPr>
        <w:t>食品抽检经费、</w:t>
      </w:r>
      <w:r>
        <w:rPr>
          <w:rFonts w:hint="eastAsia" w:ascii="Times New Roman" w:hAnsi="Times New Roman" w:eastAsia="仿宋_GB2312" w:cs="Times New Roman"/>
          <w:sz w:val="32"/>
          <w:szCs w:val="32"/>
          <w:lang w:val="en-US" w:eastAsia="zh-CN"/>
        </w:rPr>
        <w:t>食品安全监管经费、</w:t>
      </w:r>
      <w:r>
        <w:rPr>
          <w:rFonts w:hint="eastAsia" w:ascii="Times New Roman" w:hAnsi="Times New Roman" w:eastAsia="仿宋_GB2312" w:cs="Times New Roman"/>
          <w:sz w:val="32"/>
          <w:szCs w:val="32"/>
        </w:rPr>
        <w:t>产品质量抽检经费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商标专利补助经费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w:t>
      </w:r>
    </w:p>
    <w:p>
      <w:pPr>
        <w:spacing w:line="584" w:lineRule="exact"/>
        <w:ind w:firstLine="640"/>
        <w:rPr>
          <w:rFonts w:hint="eastAsia" w:ascii="楷体" w:hAnsi="楷体" w:eastAsia="楷体" w:cs="楷体"/>
          <w:b/>
          <w:bCs w:val="0"/>
          <w:sz w:val="32"/>
          <w:szCs w:val="32"/>
        </w:rPr>
      </w:pPr>
      <w:r>
        <w:rPr>
          <w:rFonts w:hint="eastAsia" w:ascii="楷体" w:hAnsi="楷体" w:eastAsia="楷体" w:cs="楷体"/>
          <w:b/>
          <w:bCs w:val="0"/>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5753.14</w:t>
      </w:r>
      <w:r>
        <w:rPr>
          <w:rFonts w:ascii="Times New Roman" w:hAnsi="Times New Roman" w:eastAsia="仿宋_GB2312" w:cs="Times New Roman"/>
          <w:sz w:val="32"/>
          <w:szCs w:val="32"/>
        </w:rPr>
        <w:t>万元，较202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5642.59万元增加110.55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增加831.46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w:t>
      </w:r>
      <w:r>
        <w:rPr>
          <w:rFonts w:hint="eastAsia" w:ascii="Times New Roman" w:hAnsi="Times New Roman" w:eastAsia="仿宋_GB2312" w:cs="Times New Roman"/>
          <w:sz w:val="32"/>
          <w:szCs w:val="32"/>
        </w:rPr>
        <w:t>工资福利支出增加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减少720.91</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为节约开支，</w:t>
      </w:r>
      <w:r>
        <w:rPr>
          <w:rFonts w:hint="eastAsia" w:ascii="Times New Roman" w:hAnsi="Times New Roman" w:eastAsia="仿宋_GB2312" w:cs="Times New Roman"/>
          <w:sz w:val="32"/>
          <w:szCs w:val="32"/>
        </w:rPr>
        <w:t>压减</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支出</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278.68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香河县市场监督管理局</w:t>
      </w:r>
      <w:r>
        <w:rPr>
          <w:rFonts w:hint="eastAsia" w:ascii="Times New Roman" w:hAnsi="Times New Roman" w:eastAsia="仿宋_GB2312" w:cs="Times New Roman"/>
          <w:sz w:val="32"/>
          <w:szCs w:val="32"/>
          <w:lang w:val="en-US" w:eastAsia="zh-CN"/>
        </w:rPr>
        <w:t>机关及下属分局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49.92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49.92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49.92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少14.28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因公出国（境）费与202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公务用车购置及运维费与202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年相比</w:t>
      </w:r>
      <w:r>
        <w:rPr>
          <w:rFonts w:hint="eastAsia" w:ascii="Times New Roman" w:hAnsi="Times New Roman" w:eastAsia="仿宋_GB2312" w:cs="Times New Roman"/>
          <w:sz w:val="32"/>
          <w:szCs w:val="32"/>
        </w:rPr>
        <w:t>减少14.28万元</w:t>
      </w:r>
      <w:r>
        <w:rPr>
          <w:rFonts w:ascii="Times New Roman" w:hAnsi="Times New Roman" w:eastAsia="仿宋_GB2312" w:cs="Times New Roman"/>
          <w:sz w:val="32"/>
          <w:szCs w:val="32"/>
        </w:rPr>
        <w:t>（其中：公务用车购置费与202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年相比无增减变化，公务用车运维费</w:t>
      </w:r>
      <w:r>
        <w:rPr>
          <w:rFonts w:hint="eastAsia" w:ascii="Times New Roman" w:hAnsi="Times New Roman" w:eastAsia="仿宋_GB2312" w:cs="Times New Roman"/>
          <w:sz w:val="32"/>
          <w:szCs w:val="32"/>
        </w:rPr>
        <w:t>减少14.28万元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以习近平新时代中国特色社会主义思想为指引，紧扣县委、政府和上级业务部门的中心工作，围绕服务发展大局，优化营商环境、推进质量提升、强化知识产权保护、维护公平竞争秩序、坚守安全底线、加强队伍建设，为建设“协同发展示范区、绿色活力幸福城”做出新的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5"/>
        <w:rPr>
          <w:rFonts w:eastAsia="仿宋_GB2312"/>
          <w:kern w:val="2"/>
          <w:sz w:val="32"/>
          <w:szCs w:val="32"/>
          <w:lang w:eastAsia="zh-CN"/>
        </w:rPr>
      </w:pPr>
      <w:r>
        <w:rPr>
          <w:rFonts w:eastAsia="仿宋_GB2312"/>
          <w:kern w:val="2"/>
          <w:sz w:val="32"/>
          <w:szCs w:val="32"/>
          <w:lang w:eastAsia="zh-CN"/>
        </w:rPr>
        <w:t>（一）全县市场综合监督管理。贯彻落实市场监督管理和药品监督管理有关法律法规规章，制定有关政策、标准，组织实施质量强县战略、食品安全战略、标准化战略、知识产权战略，拟订并组织实施有关规划，规范和维护市场秩序，营造诚实守信、公平竞争的市场环境。</w:t>
      </w:r>
    </w:p>
    <w:p>
      <w:pPr>
        <w:pStyle w:val="15"/>
        <w:rPr>
          <w:rFonts w:eastAsia="仿宋_GB2312"/>
          <w:kern w:val="2"/>
          <w:sz w:val="32"/>
          <w:szCs w:val="32"/>
          <w:lang w:eastAsia="zh-CN"/>
        </w:rPr>
      </w:pPr>
      <w:r>
        <w:rPr>
          <w:rFonts w:eastAsia="仿宋_GB2312"/>
          <w:kern w:val="2"/>
          <w:sz w:val="32"/>
          <w:szCs w:val="32"/>
          <w:lang w:eastAsia="zh-CN"/>
        </w:rPr>
        <w:t>（二）建立和完善全县市场主体信息公示和共享机制，依法公示和共享有关信息，加强信用监管，推动市场主体信用体系建设。</w:t>
      </w:r>
    </w:p>
    <w:p>
      <w:pPr>
        <w:pStyle w:val="15"/>
        <w:rPr>
          <w:rFonts w:eastAsia="仿宋_GB2312"/>
          <w:kern w:val="2"/>
          <w:sz w:val="32"/>
          <w:szCs w:val="32"/>
          <w:lang w:eastAsia="zh-CN"/>
        </w:rPr>
      </w:pPr>
      <w:r>
        <w:rPr>
          <w:rFonts w:eastAsia="仿宋_GB2312"/>
          <w:kern w:val="2"/>
          <w:sz w:val="32"/>
          <w:szCs w:val="32"/>
          <w:lang w:eastAsia="zh-CN"/>
        </w:rPr>
        <w:t>（三）组织和指导全县市场监管综合执法工作。指导全县市场监管综合执法队伍整合和建设，推动实行统一的市场监管。组织查处重大违法案件。规范市场监管行政执法行为。做好县“双随机一公开”监管工作领导小组办公室日常工作。</w:t>
      </w:r>
    </w:p>
    <w:p>
      <w:pPr>
        <w:pStyle w:val="15"/>
        <w:rPr>
          <w:rFonts w:eastAsia="仿宋_GB2312"/>
          <w:kern w:val="2"/>
          <w:sz w:val="32"/>
          <w:szCs w:val="32"/>
          <w:lang w:eastAsia="zh-CN"/>
        </w:rPr>
      </w:pPr>
      <w:r>
        <w:rPr>
          <w:rFonts w:eastAsia="仿宋_GB2312"/>
          <w:kern w:val="2"/>
          <w:sz w:val="32"/>
          <w:szCs w:val="32"/>
          <w:lang w:eastAsia="zh-CN"/>
        </w:rPr>
        <w:t>（四）反垄断统一执法。组织推进竞争政策实施，指导实施公平竞争审查制度。依法对经营者集中行为进行反垄断审查，做好垄断协议、滥用市场支配地位和滥用行政权力排除、限制竞争等反垄断执法工作。</w:t>
      </w:r>
    </w:p>
    <w:p>
      <w:pPr>
        <w:pStyle w:val="15"/>
        <w:rPr>
          <w:rFonts w:eastAsia="仿宋_GB2312"/>
          <w:kern w:val="2"/>
          <w:sz w:val="32"/>
          <w:szCs w:val="32"/>
          <w:lang w:eastAsia="zh-CN"/>
        </w:rPr>
      </w:pPr>
      <w:r>
        <w:rPr>
          <w:rFonts w:eastAsia="仿宋_GB2312"/>
          <w:kern w:val="2"/>
          <w:sz w:val="32"/>
          <w:szCs w:val="32"/>
          <w:lang w:eastAsia="zh-CN"/>
        </w:rPr>
        <w:t>（五）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15"/>
        <w:rPr>
          <w:rFonts w:eastAsia="仿宋_GB2312"/>
          <w:kern w:val="2"/>
          <w:sz w:val="32"/>
          <w:szCs w:val="32"/>
          <w:lang w:eastAsia="zh-CN"/>
        </w:rPr>
      </w:pPr>
      <w:r>
        <w:rPr>
          <w:rFonts w:eastAsia="仿宋_GB2312"/>
          <w:kern w:val="2"/>
          <w:sz w:val="32"/>
          <w:szCs w:val="32"/>
          <w:lang w:eastAsia="zh-CN"/>
        </w:rPr>
        <w:t>（六）全县宏观质量管理。拟订并实施全县质量发展的制度措施。统筹全县质量基础设施建设与应用，会同有关部门组织实施重大工程设备质量监理制度，组织重大质量事故调查，组织实施缺陷产品召回制度，监督管理产品防伪工作。做好县质量强县战略领导小组办公室日常工作。</w:t>
      </w:r>
    </w:p>
    <w:p>
      <w:pPr>
        <w:pStyle w:val="15"/>
        <w:rPr>
          <w:rFonts w:eastAsia="仿宋_GB2312"/>
          <w:kern w:val="2"/>
          <w:sz w:val="32"/>
          <w:szCs w:val="32"/>
          <w:lang w:eastAsia="zh-CN"/>
        </w:rPr>
      </w:pPr>
      <w:r>
        <w:rPr>
          <w:rFonts w:eastAsia="仿宋_GB2312"/>
          <w:kern w:val="2"/>
          <w:sz w:val="32"/>
          <w:szCs w:val="32"/>
          <w:lang w:eastAsia="zh-CN"/>
        </w:rPr>
        <w:t>（七）全县产品质量安全监督管理。承担县级产品质量安全风险监控、监督抽查工作。组织实施质量分级制度、质量安全追溯制度。实施工业产品生产许可管理。</w:t>
      </w:r>
    </w:p>
    <w:p>
      <w:pPr>
        <w:pStyle w:val="15"/>
        <w:rPr>
          <w:rFonts w:eastAsia="仿宋_GB2312"/>
          <w:kern w:val="2"/>
          <w:sz w:val="32"/>
          <w:szCs w:val="32"/>
          <w:lang w:eastAsia="zh-CN"/>
        </w:rPr>
      </w:pPr>
      <w:r>
        <w:rPr>
          <w:rFonts w:eastAsia="仿宋_GB2312"/>
          <w:kern w:val="2"/>
          <w:sz w:val="32"/>
          <w:szCs w:val="32"/>
          <w:lang w:eastAsia="zh-CN"/>
        </w:rPr>
        <w:t>（八）全县特种设备安全监督管理。综合管理特种设备安全监察、监督工作，监督检查高耗能特种设备节能标准和锅炉环境保护标准的执行情况。</w:t>
      </w:r>
    </w:p>
    <w:p>
      <w:pPr>
        <w:pStyle w:val="15"/>
        <w:rPr>
          <w:rFonts w:eastAsia="仿宋_GB2312"/>
          <w:kern w:val="2"/>
          <w:sz w:val="32"/>
          <w:szCs w:val="32"/>
          <w:lang w:eastAsia="zh-CN"/>
        </w:rPr>
      </w:pPr>
      <w:r>
        <w:rPr>
          <w:rFonts w:eastAsia="仿宋_GB2312"/>
          <w:kern w:val="2"/>
          <w:sz w:val="32"/>
          <w:szCs w:val="32"/>
          <w:lang w:eastAsia="zh-CN"/>
        </w:rPr>
        <w:t>（九）食品安全监督管理综合协调。组织制定并实施全县食品安全重大政策。推动健全食品安全地方党政同责和跨部门协调联动机制。负责食品安全应急体系建设，组织指导全县重大食品安全事件应急处置和调查处理工作，建立健全食品安全信息统一公布和重要信息直报制度。做好县食品安全委员会办公室日常工作。</w:t>
      </w:r>
    </w:p>
    <w:p>
      <w:pPr>
        <w:pStyle w:val="15"/>
        <w:rPr>
          <w:rFonts w:eastAsia="仿宋_GB2312"/>
          <w:kern w:val="2"/>
          <w:sz w:val="32"/>
          <w:szCs w:val="32"/>
          <w:lang w:eastAsia="zh-CN"/>
        </w:rPr>
      </w:pPr>
      <w:r>
        <w:rPr>
          <w:rFonts w:eastAsia="仿宋_GB2312"/>
          <w:kern w:val="2"/>
          <w:sz w:val="32"/>
          <w:szCs w:val="32"/>
          <w:lang w:eastAsia="zh-CN"/>
        </w:rPr>
        <w:t>（十）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指导重大活动食品安全保障。</w:t>
      </w:r>
    </w:p>
    <w:p>
      <w:pPr>
        <w:pStyle w:val="15"/>
        <w:rPr>
          <w:rFonts w:eastAsia="仿宋_GB2312"/>
          <w:kern w:val="2"/>
          <w:sz w:val="32"/>
          <w:szCs w:val="32"/>
          <w:lang w:eastAsia="zh-CN"/>
        </w:rPr>
      </w:pPr>
      <w:r>
        <w:rPr>
          <w:rFonts w:eastAsia="仿宋_GB2312"/>
          <w:kern w:val="2"/>
          <w:sz w:val="32"/>
          <w:szCs w:val="32"/>
          <w:lang w:eastAsia="zh-CN"/>
        </w:rPr>
        <w:t>（十一）负责药品、医疗器械和化妆品质量管理。监督和指导实施生产质量管理规范和经营质量管理规范。依法查处药品零售、医疗器械经营、化妆品经营和药品、医疗器械使用环节的违法行为。</w:t>
      </w:r>
    </w:p>
    <w:p>
      <w:pPr>
        <w:pStyle w:val="15"/>
        <w:rPr>
          <w:rFonts w:eastAsia="仿宋_GB2312"/>
          <w:kern w:val="2"/>
          <w:sz w:val="32"/>
          <w:szCs w:val="32"/>
          <w:lang w:eastAsia="zh-CN"/>
        </w:rPr>
      </w:pPr>
      <w:r>
        <w:rPr>
          <w:rFonts w:eastAsia="仿宋_GB2312"/>
          <w:kern w:val="2"/>
          <w:sz w:val="32"/>
          <w:szCs w:val="32"/>
          <w:lang w:eastAsia="zh-CN"/>
        </w:rPr>
        <w:t>（十二）药品、医疗器械和化妆品上市后风险管理。建立健全全县药品不良反应、医疗器械不良事件、化妆品不良反应和药物滥用监测体系，并开展监测、评价和处置工作。依法承担药品、医疗器械和化妆品安全应急管理工作。</w:t>
      </w:r>
    </w:p>
    <w:p>
      <w:pPr>
        <w:pStyle w:val="15"/>
        <w:rPr>
          <w:rFonts w:eastAsia="仿宋_GB2312"/>
          <w:kern w:val="2"/>
          <w:sz w:val="32"/>
          <w:szCs w:val="32"/>
          <w:lang w:eastAsia="zh-CN"/>
        </w:rPr>
      </w:pPr>
      <w:r>
        <w:rPr>
          <w:rFonts w:eastAsia="仿宋_GB2312"/>
          <w:kern w:val="2"/>
          <w:sz w:val="32"/>
          <w:szCs w:val="32"/>
          <w:lang w:eastAsia="zh-CN"/>
        </w:rPr>
        <w:t>（十三）统一管理全县计量工作。推行法定计量单位和国家计量制度，管理计量器具及量值传递和比对工作。规范、监督商品量和市场计量行为。</w:t>
      </w:r>
    </w:p>
    <w:p>
      <w:pPr>
        <w:pStyle w:val="15"/>
        <w:rPr>
          <w:rFonts w:eastAsia="仿宋_GB2312"/>
          <w:kern w:val="2"/>
          <w:sz w:val="32"/>
          <w:szCs w:val="32"/>
          <w:lang w:eastAsia="zh-CN"/>
        </w:rPr>
      </w:pPr>
      <w:r>
        <w:rPr>
          <w:rFonts w:eastAsia="仿宋_GB2312"/>
          <w:kern w:val="2"/>
          <w:sz w:val="32"/>
          <w:szCs w:val="32"/>
          <w:lang w:eastAsia="zh-CN"/>
        </w:rPr>
        <w:t>（十四）统一管理全县标准化工作。宣传贯彻强制性、推荐性国家标准和行业标准、地方标准。依法协调指导和监督团体标准、企业标准制定工作。</w:t>
      </w:r>
    </w:p>
    <w:p>
      <w:pPr>
        <w:pStyle w:val="15"/>
        <w:rPr>
          <w:rFonts w:eastAsia="仿宋_GB2312"/>
          <w:kern w:val="2"/>
          <w:sz w:val="32"/>
          <w:szCs w:val="32"/>
          <w:lang w:eastAsia="zh-CN"/>
        </w:rPr>
      </w:pPr>
      <w:r>
        <w:rPr>
          <w:rFonts w:eastAsia="仿宋_GB2312"/>
          <w:kern w:val="2"/>
          <w:sz w:val="32"/>
          <w:szCs w:val="32"/>
          <w:lang w:eastAsia="zh-CN"/>
        </w:rPr>
        <w:t>（十五）统一管理全县检验检测工作。推进检验检测机构整合和改革，规范检验检测市场，完善检验检测体系，指导协调检验检测行业发展。</w:t>
      </w:r>
    </w:p>
    <w:p>
      <w:pPr>
        <w:pStyle w:val="15"/>
        <w:rPr>
          <w:rFonts w:eastAsia="仿宋_GB2312"/>
          <w:kern w:val="2"/>
          <w:sz w:val="32"/>
          <w:szCs w:val="32"/>
          <w:lang w:eastAsia="zh-CN"/>
        </w:rPr>
      </w:pPr>
      <w:r>
        <w:rPr>
          <w:rFonts w:eastAsia="仿宋_GB2312"/>
          <w:kern w:val="2"/>
          <w:sz w:val="32"/>
          <w:szCs w:val="32"/>
          <w:lang w:eastAsia="zh-CN"/>
        </w:rPr>
        <w:t>（十六）统一管理、监督和协调全县认证认可工作。组织贯彻实施国家统一的认证认可和合格评定监督管理制度。</w:t>
      </w:r>
    </w:p>
    <w:p>
      <w:pPr>
        <w:pStyle w:val="15"/>
        <w:rPr>
          <w:rFonts w:eastAsia="仿宋_GB2312"/>
          <w:kern w:val="2"/>
          <w:sz w:val="32"/>
          <w:szCs w:val="32"/>
          <w:lang w:eastAsia="zh-CN"/>
        </w:rPr>
      </w:pPr>
      <w:r>
        <w:rPr>
          <w:rFonts w:eastAsia="仿宋_GB2312"/>
          <w:kern w:val="2"/>
          <w:sz w:val="32"/>
          <w:szCs w:val="32"/>
          <w:lang w:eastAsia="zh-CN"/>
        </w:rPr>
        <w:t>（十七）推进全县知识产权管理工作。贯彻落实加强知识产权强县建设的重大方针政策和发展规划。拟订和实施强化知识产权创造、保护和运用的政策和制度。</w:t>
      </w:r>
    </w:p>
    <w:p>
      <w:pPr>
        <w:pStyle w:val="15"/>
        <w:rPr>
          <w:rFonts w:eastAsia="仿宋_GB2312"/>
          <w:kern w:val="2"/>
          <w:sz w:val="32"/>
          <w:szCs w:val="32"/>
          <w:lang w:eastAsia="zh-CN"/>
        </w:rPr>
      </w:pPr>
      <w:r>
        <w:rPr>
          <w:rFonts w:eastAsia="仿宋_GB2312"/>
          <w:kern w:val="2"/>
          <w:sz w:val="32"/>
          <w:szCs w:val="32"/>
          <w:lang w:eastAsia="zh-CN"/>
        </w:rPr>
        <w:t>（十八）全县市场监督管理科技和信息化建设、新闻宣传、对外交流与合作。统筹协调涉外知识产权事宜和知识产权对外转让审查工作。</w:t>
      </w:r>
    </w:p>
    <w:p>
      <w:pPr>
        <w:spacing w:line="584" w:lineRule="exact"/>
        <w:ind w:firstLine="640" w:firstLineChars="200"/>
        <w:rPr>
          <w:rFonts w:ascii="Times New Roman" w:hAnsi="Times New Roman"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rPr>
          <w:rFonts w:eastAsia="仿宋_GB2312"/>
          <w:kern w:val="2"/>
          <w:sz w:val="32"/>
          <w:szCs w:val="32"/>
          <w:lang w:eastAsia="zh-CN"/>
        </w:rPr>
      </w:pPr>
      <w:r>
        <w:rPr>
          <w:rFonts w:eastAsia="仿宋_GB2312"/>
          <w:kern w:val="2"/>
          <w:sz w:val="32"/>
          <w:szCs w:val="32"/>
          <w:lang w:eastAsia="zh-CN"/>
        </w:rPr>
        <w:t>一、加强信用监管机制建设。采取积极有效措施推进市场主体年报信息公示工作，企业年报率不低于去年的94.90%，农专、个体争取应报尽报。加强企业信用监管，通过企业信息归集共享，完善企业经营异常名录、“黑名单”和信用修复制度，推动失信联合惩戒。</w:t>
      </w:r>
    </w:p>
    <w:p>
      <w:pPr>
        <w:pStyle w:val="15"/>
        <w:rPr>
          <w:rFonts w:eastAsia="仿宋_GB2312"/>
          <w:kern w:val="2"/>
          <w:sz w:val="32"/>
          <w:szCs w:val="32"/>
          <w:lang w:eastAsia="zh-CN"/>
        </w:rPr>
      </w:pPr>
      <w:r>
        <w:rPr>
          <w:rFonts w:eastAsia="仿宋_GB2312"/>
          <w:kern w:val="2"/>
          <w:sz w:val="32"/>
          <w:szCs w:val="32"/>
          <w:lang w:eastAsia="zh-CN"/>
        </w:rPr>
        <w:t>二、完善新型监管机制。推进“双随机、一公开”监管规范化、标准化、常态化，抽查企业占比达到5%以上。拓展部门联合“双随机、一公开”监管覆盖范围。</w:t>
      </w:r>
    </w:p>
    <w:p>
      <w:pPr>
        <w:pStyle w:val="15"/>
        <w:rPr>
          <w:rFonts w:eastAsia="仿宋_GB2312"/>
          <w:kern w:val="2"/>
          <w:sz w:val="32"/>
          <w:szCs w:val="32"/>
          <w:lang w:eastAsia="zh-CN"/>
        </w:rPr>
      </w:pPr>
      <w:r>
        <w:rPr>
          <w:rFonts w:eastAsia="仿宋_GB2312"/>
          <w:kern w:val="2"/>
          <w:sz w:val="32"/>
          <w:szCs w:val="32"/>
          <w:lang w:eastAsia="zh-CN"/>
        </w:rPr>
        <w:t>三、加强网络及合同监管。扎实推进线上线下一体化监管，规范网络商品交易秩序。做好动产抵押线上登记工作，支持市场主体特别是民营企业融资发展。</w:t>
      </w:r>
    </w:p>
    <w:p>
      <w:pPr>
        <w:pStyle w:val="15"/>
        <w:rPr>
          <w:rFonts w:eastAsia="仿宋_GB2312"/>
          <w:kern w:val="2"/>
          <w:sz w:val="32"/>
          <w:szCs w:val="32"/>
          <w:lang w:eastAsia="zh-CN"/>
        </w:rPr>
      </w:pPr>
      <w:r>
        <w:rPr>
          <w:rFonts w:eastAsia="仿宋_GB2312"/>
          <w:kern w:val="2"/>
          <w:sz w:val="32"/>
          <w:szCs w:val="32"/>
          <w:lang w:eastAsia="zh-CN"/>
        </w:rPr>
        <w:t>四、提高广告监管效能。依法加强对违法广告主体的查处和管控力度，持续加大医疗、药品、保健食品等关乎民生的重点领域广告监管力度，对损害群众利益的违法者保持“零容忍”。</w:t>
      </w:r>
    </w:p>
    <w:p>
      <w:pPr>
        <w:pStyle w:val="15"/>
        <w:rPr>
          <w:rFonts w:eastAsia="仿宋_GB2312"/>
          <w:kern w:val="2"/>
          <w:sz w:val="32"/>
          <w:szCs w:val="32"/>
          <w:lang w:eastAsia="zh-CN"/>
        </w:rPr>
      </w:pPr>
      <w:r>
        <w:rPr>
          <w:rFonts w:eastAsia="仿宋_GB2312"/>
          <w:kern w:val="2"/>
          <w:sz w:val="32"/>
          <w:szCs w:val="32"/>
          <w:lang w:eastAsia="zh-CN"/>
        </w:rPr>
        <w:t>五、加强价格监管。强化民生等重点领域、重点时段、重点市场的价格监管，规范明码标价，严厉打击哄抬价格、串通涨价、价格欺诈等违法行为，维护正常的市场秩序。</w:t>
      </w:r>
    </w:p>
    <w:p>
      <w:pPr>
        <w:pStyle w:val="15"/>
        <w:rPr>
          <w:rFonts w:eastAsia="仿宋_GB2312"/>
          <w:kern w:val="2"/>
          <w:sz w:val="32"/>
          <w:szCs w:val="32"/>
          <w:lang w:eastAsia="zh-CN"/>
        </w:rPr>
      </w:pPr>
      <w:r>
        <w:rPr>
          <w:rFonts w:eastAsia="仿宋_GB2312"/>
          <w:kern w:val="2"/>
          <w:sz w:val="32"/>
          <w:szCs w:val="32"/>
          <w:lang w:eastAsia="zh-CN"/>
        </w:rPr>
        <w:t>六、维护公平竞争秩序。全面落实公平竞争审查制度，严厉打击市场垄断、虚假宣传等不正当竞争行为，深入推进“扫黑除恶”专项斗争。</w:t>
      </w:r>
    </w:p>
    <w:p>
      <w:pPr>
        <w:pStyle w:val="15"/>
        <w:rPr>
          <w:rFonts w:eastAsia="仿宋_GB2312"/>
          <w:kern w:val="2"/>
          <w:sz w:val="32"/>
          <w:szCs w:val="32"/>
          <w:lang w:eastAsia="zh-CN"/>
        </w:rPr>
      </w:pPr>
      <w:r>
        <w:rPr>
          <w:rFonts w:eastAsia="仿宋_GB2312"/>
          <w:kern w:val="2"/>
          <w:sz w:val="32"/>
          <w:szCs w:val="32"/>
          <w:lang w:eastAsia="zh-CN"/>
        </w:rPr>
        <w:t>七、加强质量管理。发挥质量强县领导小组办公室作用，引导企业加强全面质量管理；加强品牌培育，鼓励更多企业争创政府质量奖。</w:t>
      </w:r>
    </w:p>
    <w:p>
      <w:pPr>
        <w:pStyle w:val="15"/>
        <w:rPr>
          <w:rFonts w:eastAsia="仿宋_GB2312"/>
          <w:kern w:val="2"/>
          <w:sz w:val="32"/>
          <w:szCs w:val="32"/>
          <w:lang w:eastAsia="zh-CN"/>
        </w:rPr>
      </w:pPr>
      <w:r>
        <w:rPr>
          <w:rFonts w:eastAsia="仿宋_GB2312"/>
          <w:kern w:val="2"/>
          <w:sz w:val="32"/>
          <w:szCs w:val="32"/>
          <w:lang w:eastAsia="zh-CN"/>
        </w:rPr>
        <w:t>八、巩固计量支撑。强化计量监督，推进诚信计量，深化加油机等计量专项整治，以精准的计量、优质的服务让老百姓买的放心、企业检的顺心。</w:t>
      </w:r>
    </w:p>
    <w:p>
      <w:pPr>
        <w:pStyle w:val="15"/>
        <w:rPr>
          <w:rFonts w:eastAsia="仿宋_GB2312"/>
          <w:kern w:val="2"/>
          <w:sz w:val="32"/>
          <w:szCs w:val="32"/>
          <w:lang w:eastAsia="zh-CN"/>
        </w:rPr>
      </w:pPr>
      <w:r>
        <w:rPr>
          <w:rFonts w:eastAsia="仿宋_GB2312"/>
          <w:kern w:val="2"/>
          <w:sz w:val="32"/>
          <w:szCs w:val="32"/>
          <w:lang w:eastAsia="zh-CN"/>
        </w:rPr>
        <w:t>九、严格产品质量监管。聚焦大气污染防治，开展劣质散煤管控和成品油质量整治行动，助力打赢“蓝天保卫战”。聚焦儿童用品、纺织服装等重点消费品，持续开展儿童和学生用品安全守护行动，保障人身健康安全。</w:t>
      </w:r>
    </w:p>
    <w:p>
      <w:pPr>
        <w:pStyle w:val="15"/>
        <w:rPr>
          <w:rFonts w:eastAsia="仿宋_GB2312"/>
          <w:kern w:val="2"/>
          <w:sz w:val="32"/>
          <w:szCs w:val="32"/>
          <w:lang w:eastAsia="zh-CN"/>
        </w:rPr>
      </w:pPr>
      <w:r>
        <w:rPr>
          <w:rFonts w:eastAsia="仿宋_GB2312"/>
          <w:kern w:val="2"/>
          <w:sz w:val="32"/>
          <w:szCs w:val="32"/>
          <w:lang w:eastAsia="zh-CN"/>
        </w:rPr>
        <w:t>十、促进知识产权保护。加快构建知识产权保护工作格局，鼓励企业积极申报、引进各类专利，严厉打击商标、专利、地理标志侵权假冒违法行为。</w:t>
      </w:r>
    </w:p>
    <w:p>
      <w:pPr>
        <w:pStyle w:val="15"/>
        <w:rPr>
          <w:rFonts w:eastAsia="仿宋_GB2312"/>
          <w:kern w:val="2"/>
          <w:sz w:val="32"/>
          <w:szCs w:val="32"/>
          <w:lang w:eastAsia="zh-CN"/>
        </w:rPr>
      </w:pPr>
      <w:r>
        <w:rPr>
          <w:rFonts w:eastAsia="仿宋_GB2312"/>
          <w:kern w:val="2"/>
          <w:sz w:val="32"/>
          <w:szCs w:val="32"/>
          <w:lang w:eastAsia="zh-CN"/>
        </w:rPr>
        <w:t>十一、加强食品安全监管。加强对食品批发市场、连锁超市、校园周边、农村市场等重点区域和食盐、保健食品、婴幼儿乳粉及辅助食品等重点食品销售安全监管，抓好大型食品经营企业、小作坊、小摊贩、小餐饮的日常监管，按照风险等级确定全年的监督检查频次，做到日常监督检查覆盖率达100%。持续推进“明厨亮灶”和量化等级评定提档升级，继续开展学校标准食堂和餐饮示范店创建工作，完成三所省级学校标准食堂的创建。完成国家食品安全城市创建各项工作。全年完成2000批次以上食品抽检任务。全力做好重大活动食品安全保障，消除安全隐患，防范发生重大食品安全事故。</w:t>
      </w:r>
    </w:p>
    <w:p>
      <w:pPr>
        <w:pStyle w:val="15"/>
        <w:rPr>
          <w:rFonts w:eastAsia="仿宋_GB2312"/>
          <w:kern w:val="2"/>
          <w:sz w:val="32"/>
          <w:szCs w:val="32"/>
          <w:lang w:eastAsia="zh-CN"/>
        </w:rPr>
      </w:pPr>
      <w:r>
        <w:rPr>
          <w:rFonts w:eastAsia="仿宋_GB2312"/>
          <w:kern w:val="2"/>
          <w:sz w:val="32"/>
          <w:szCs w:val="32"/>
          <w:lang w:eastAsia="zh-CN"/>
        </w:rPr>
        <w:t>十二、加强药品安全监管。加强对中药饮片，非法渠道购进、销售、使用假劣及过期药品，超范围经营药品，违规销售使用终止妊娠处方药、回收药品等突出问题和含特殊药品复方制剂、疫苗、血液制品、特殊管理药品等的监管力度，及时消除安全隐患。组织开展药品、医疗器械抽检。</w:t>
      </w:r>
    </w:p>
    <w:p>
      <w:pPr>
        <w:pStyle w:val="15"/>
        <w:rPr>
          <w:rFonts w:eastAsia="仿宋_GB2312"/>
          <w:kern w:val="2"/>
          <w:sz w:val="32"/>
          <w:szCs w:val="32"/>
          <w:lang w:eastAsia="zh-CN"/>
        </w:rPr>
        <w:sectPr>
          <w:pgSz w:w="16840" w:h="11900" w:orient="landscape"/>
          <w:pgMar w:top="1304" w:right="1134" w:bottom="1304" w:left="1984" w:header="720" w:footer="720" w:gutter="0"/>
          <w:cols w:space="720" w:num="1"/>
          <w:docGrid w:linePitch="286" w:charSpace="0"/>
        </w:sectPr>
      </w:pPr>
    </w:p>
    <w:p>
      <w:pPr>
        <w:pStyle w:val="15"/>
        <w:rPr>
          <w:rFonts w:eastAsia="仿宋_GB2312"/>
          <w:kern w:val="2"/>
          <w:sz w:val="32"/>
          <w:szCs w:val="32"/>
          <w:lang w:eastAsia="zh-CN"/>
        </w:rPr>
        <w:sectPr>
          <w:type w:val="continuous"/>
          <w:pgSz w:w="16840" w:h="11900" w:orient="landscape"/>
          <w:pgMar w:top="1304" w:right="1134" w:bottom="1304" w:left="1984" w:header="720" w:footer="720" w:gutter="0"/>
          <w:cols w:space="720" w:num="1"/>
          <w:docGrid w:linePitch="286" w:charSpace="0"/>
        </w:sectPr>
      </w:pPr>
    </w:p>
    <w:p>
      <w:pPr>
        <w:pStyle w:val="15"/>
        <w:ind w:left="840" w:leftChars="400" w:firstLine="560" w:firstLineChars="0"/>
        <w:rPr>
          <w:rFonts w:eastAsia="仿宋_GB2312"/>
          <w:kern w:val="2"/>
          <w:sz w:val="32"/>
          <w:szCs w:val="32"/>
          <w:lang w:eastAsia="zh-CN"/>
        </w:rPr>
      </w:pPr>
      <w:r>
        <w:rPr>
          <w:rFonts w:eastAsia="仿宋_GB2312"/>
          <w:kern w:val="2"/>
          <w:sz w:val="32"/>
          <w:szCs w:val="32"/>
          <w:lang w:eastAsia="zh-CN"/>
        </w:rPr>
        <w:t>十三、加强特种设备安全监管。强化特种设备安全主体责任落实。以起重机械、场内机动车以及人员密集场所电梯、气瓶等特种设备为重点，开展隐患排查集中整治，消除安全隐患。深化液化石油气钢瓶信息化成果，100%实现信息化监管。广泛开展宣传和教育培训活动，努力营造良好的安全氛围。</w:t>
      </w:r>
    </w:p>
    <w:p>
      <w:pPr>
        <w:pStyle w:val="15"/>
        <w:ind w:left="836" w:leftChars="398" w:firstLine="640" w:firstLineChars="200"/>
        <w:rPr>
          <w:rFonts w:eastAsia="仿宋_GB2312"/>
          <w:kern w:val="2"/>
          <w:sz w:val="32"/>
          <w:szCs w:val="32"/>
          <w:lang w:eastAsia="zh-CN"/>
        </w:rPr>
      </w:pPr>
      <w:r>
        <w:rPr>
          <w:rFonts w:eastAsia="仿宋_GB2312"/>
          <w:kern w:val="2"/>
          <w:sz w:val="32"/>
          <w:szCs w:val="32"/>
          <w:lang w:eastAsia="zh-CN"/>
        </w:rPr>
        <w:t>十四、加大综合执法力度。围绕百姓日常消费生活的重点热点领域和问题，针对食品药品、特种设备、虚假广告、房地产等方面，加大监督执法力度。查处案件和上级转办案件办结率达到100%。</w:t>
      </w:r>
    </w:p>
    <w:p>
      <w:pPr>
        <w:pStyle w:val="15"/>
        <w:ind w:left="836" w:leftChars="398" w:firstLine="640" w:firstLineChars="200"/>
        <w:rPr>
          <w:rFonts w:eastAsia="仿宋_GB2312"/>
          <w:kern w:val="2"/>
          <w:sz w:val="32"/>
          <w:szCs w:val="32"/>
          <w:lang w:eastAsia="zh-CN"/>
        </w:rPr>
      </w:pPr>
      <w:r>
        <w:rPr>
          <w:rFonts w:eastAsia="仿宋_GB2312"/>
          <w:kern w:val="2"/>
          <w:sz w:val="32"/>
          <w:szCs w:val="32"/>
          <w:lang w:eastAsia="zh-CN"/>
        </w:rPr>
        <w:t>十五、深化区域产品质量整治。持续开展家具产品质量整治提升，对制售假冒伪劣产品、无证无照生产、一般质量问题分类施策,打掉一批、关停一批，淘汰一批、规范一批、提高一批，促进我县家具产业转型升级、健康发展。</w:t>
      </w:r>
    </w:p>
    <w:p>
      <w:pPr>
        <w:pStyle w:val="15"/>
        <w:ind w:left="836" w:leftChars="398" w:firstLine="640" w:firstLineChars="200"/>
        <w:rPr>
          <w:rFonts w:eastAsia="仿宋_GB2312"/>
          <w:kern w:val="2"/>
          <w:sz w:val="32"/>
          <w:szCs w:val="32"/>
          <w:lang w:eastAsia="zh-CN"/>
        </w:rPr>
      </w:pPr>
      <w:r>
        <w:rPr>
          <w:rFonts w:eastAsia="仿宋_GB2312"/>
          <w:kern w:val="2"/>
          <w:sz w:val="32"/>
          <w:szCs w:val="32"/>
          <w:lang w:eastAsia="zh-CN"/>
        </w:rPr>
        <w:t>十六、加强依法行政工作。深化落实行政执法“三项制度”，加强行政执法案件全过程监督管理，推进行政执法规范化建设，落实行政执法责任制和责任追究制。</w:t>
      </w:r>
    </w:p>
    <w:p>
      <w:pPr>
        <w:pStyle w:val="15"/>
        <w:ind w:left="836" w:leftChars="398" w:firstLine="640" w:firstLineChars="200"/>
        <w:rPr>
          <w:rFonts w:eastAsia="仿宋_GB2312"/>
          <w:kern w:val="2"/>
          <w:sz w:val="32"/>
          <w:szCs w:val="32"/>
          <w:lang w:eastAsia="zh-CN"/>
        </w:rPr>
      </w:pPr>
      <w:r>
        <w:rPr>
          <w:rFonts w:eastAsia="仿宋_GB2312"/>
          <w:kern w:val="2"/>
          <w:sz w:val="32"/>
          <w:szCs w:val="32"/>
          <w:lang w:eastAsia="zh-CN"/>
        </w:rPr>
        <w:t>十七、深入推进基层标准化建设提升工程。继续推动人财物向基层股室分局倾斜，加大执法装备配备力度，改善分局办公条件。</w:t>
      </w:r>
    </w:p>
    <w:p>
      <w:pPr>
        <w:pStyle w:val="15"/>
        <w:ind w:left="836" w:leftChars="398" w:firstLine="640" w:firstLineChars="200"/>
        <w:rPr>
          <w:rFonts w:eastAsia="仿宋_GB2312"/>
          <w:kern w:val="2"/>
          <w:sz w:val="32"/>
          <w:szCs w:val="32"/>
          <w:lang w:eastAsia="zh-CN"/>
        </w:rPr>
      </w:pPr>
      <w:r>
        <w:rPr>
          <w:rFonts w:eastAsia="仿宋_GB2312"/>
          <w:kern w:val="2"/>
          <w:sz w:val="32"/>
          <w:szCs w:val="32"/>
          <w:lang w:eastAsia="zh-CN"/>
        </w:rPr>
        <w:t>十八、加强干部队伍建设。强化理论学习，严格落实党组中心组理论学习的有关制度和要求。加强党风廉政建设，全面落实“两个责任”“一岗双责”。加强党员日常学习教育，使全体干部职工自觉抵制各种错误思想的侵蚀。加强意识形态建设和舆情管控，向社会展示积极向上的市场监管形象。扎实开展文明单位创建，大力弘扬和践行社会主义核心价值观，不断推动市场监管事业发展。</w:t>
      </w:r>
    </w:p>
    <w:p>
      <w:pPr>
        <w:widowControl/>
        <w:ind w:left="836" w:leftChars="398" w:firstLine="640" w:firstLineChars="200"/>
        <w:jc w:val="left"/>
        <w:rPr>
          <w:rFonts w:ascii="仿宋_GB2312" w:eastAsia="仿宋_GB2312" w:cs="Times New Roman"/>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widowControl/>
        <w:jc w:val="left"/>
        <w:rPr>
          <w:rFonts w:ascii="仿宋_GB2312" w:eastAsia="仿宋_GB2312" w:cs="Times New Roman"/>
          <w:sz w:val="32"/>
          <w:szCs w:val="32"/>
        </w:rPr>
      </w:pPr>
    </w:p>
    <w:p>
      <w:pPr>
        <w:pStyle w:val="25"/>
        <w:numPr>
          <w:ilvl w:val="0"/>
          <w:numId w:val="1"/>
        </w:numPr>
        <w:ind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经费补助绩效目标表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9548"/>
        <w:gridCol w:w="25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4069" w:type="pct"/>
            <w:gridSpan w:val="2"/>
            <w:tcBorders>
              <w:top w:val="single" w:color="FFFFFF" w:sz="6" w:space="0"/>
              <w:left w:val="single" w:color="FFFFFF" w:sz="6" w:space="0"/>
              <w:right w:val="single" w:color="FFFFFF" w:sz="6" w:space="0"/>
            </w:tcBorders>
            <w:vAlign w:val="center"/>
          </w:tcPr>
          <w:p>
            <w:pPr>
              <w:pStyle w:val="16"/>
            </w:pPr>
          </w:p>
        </w:tc>
        <w:tc>
          <w:tcPr>
            <w:tcW w:w="930" w:type="pct"/>
            <w:tcBorders>
              <w:top w:val="single" w:color="FFFFFF" w:sz="6" w:space="0"/>
              <w:left w:val="single" w:color="FFFFFF" w:sz="6" w:space="0"/>
              <w:right w:val="single" w:color="FFFFFF" w:sz="6" w:space="0"/>
            </w:tcBorders>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10" w:hRule="atLeast"/>
          <w:jc w:val="center"/>
        </w:trPr>
        <w:tc>
          <w:tcPr>
            <w:tcW w:w="644" w:type="pct"/>
            <w:vAlign w:val="center"/>
          </w:tcPr>
          <w:p>
            <w:pPr>
              <w:pStyle w:val="18"/>
            </w:pPr>
            <w:r>
              <w:t>绩效目标</w:t>
            </w:r>
          </w:p>
        </w:tc>
        <w:tc>
          <w:tcPr>
            <w:tcW w:w="4355" w:type="pct"/>
            <w:gridSpan w:val="2"/>
            <w:vAlign w:val="center"/>
          </w:tcPr>
          <w:p>
            <w:pPr>
              <w:pStyle w:val="19"/>
            </w:pPr>
            <w:r>
              <w:t>1.通过项目的开展，保障人员稳定，正常履行部门职能，维护市场秩序，服务地方经济。</w:t>
            </w:r>
          </w:p>
          <w:p>
            <w:pPr>
              <w:pStyle w:val="19"/>
            </w:pPr>
            <w:r>
              <w:t>2.通过项目的开展，及时足额准确的发放人员工资，按时缴纳各类保险，保证机关日常业务的正常开展，健全长效管理机制，使人员对项目的满意度达到90%以上。</w:t>
            </w: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8"/>
        <w:gridCol w:w="1876"/>
        <w:gridCol w:w="4073"/>
        <w:gridCol w:w="1798"/>
        <w:gridCol w:w="25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5"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5" w:type="pct"/>
            <w:vAlign w:val="center"/>
          </w:tcPr>
          <w:p>
            <w:pPr>
              <w:pStyle w:val="18"/>
            </w:pPr>
            <w:r>
              <w:t>指标值</w:t>
            </w:r>
          </w:p>
        </w:tc>
        <w:tc>
          <w:tcPr>
            <w:tcW w:w="930"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644" w:type="pct"/>
            <w:vMerge w:val="restart"/>
            <w:vAlign w:val="center"/>
          </w:tcPr>
          <w:p>
            <w:pPr>
              <w:pStyle w:val="20"/>
            </w:pPr>
            <w:r>
              <w:t>产出指标</w:t>
            </w:r>
          </w:p>
        </w:tc>
        <w:tc>
          <w:tcPr>
            <w:tcW w:w="645" w:type="pct"/>
            <w:vAlign w:val="center"/>
          </w:tcPr>
          <w:p>
            <w:pPr>
              <w:pStyle w:val="19"/>
            </w:pPr>
            <w:r>
              <w:t>数量指标</w:t>
            </w:r>
          </w:p>
        </w:tc>
        <w:tc>
          <w:tcPr>
            <w:tcW w:w="673" w:type="pct"/>
            <w:vAlign w:val="center"/>
          </w:tcPr>
          <w:p>
            <w:pPr>
              <w:pStyle w:val="19"/>
            </w:pPr>
            <w:r>
              <w:t>发放工资及福利人数</w:t>
            </w:r>
          </w:p>
        </w:tc>
        <w:tc>
          <w:tcPr>
            <w:tcW w:w="1461" w:type="pct"/>
            <w:vAlign w:val="center"/>
          </w:tcPr>
          <w:p>
            <w:pPr>
              <w:pStyle w:val="19"/>
            </w:pPr>
            <w:r>
              <w:t>向预算外人员、人事代理人员及劳务派遣人员支付工资福利的人数</w:t>
            </w:r>
          </w:p>
        </w:tc>
        <w:tc>
          <w:tcPr>
            <w:tcW w:w="645" w:type="pct"/>
            <w:vAlign w:val="center"/>
          </w:tcPr>
          <w:p>
            <w:pPr>
              <w:pStyle w:val="19"/>
            </w:pPr>
            <w:r>
              <w:t>≥65人</w:t>
            </w:r>
          </w:p>
        </w:tc>
        <w:tc>
          <w:tcPr>
            <w:tcW w:w="930" w:type="pct"/>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6" w:hRule="atLeast"/>
          <w:jc w:val="center"/>
        </w:trPr>
        <w:tc>
          <w:tcPr>
            <w:tcW w:w="644" w:type="pct"/>
            <w:vMerge w:val="continue"/>
            <w:vAlign w:val="center"/>
          </w:tcPr>
          <w:p/>
        </w:tc>
        <w:tc>
          <w:tcPr>
            <w:tcW w:w="645" w:type="pct"/>
            <w:vAlign w:val="center"/>
          </w:tcPr>
          <w:p>
            <w:pPr>
              <w:pStyle w:val="19"/>
            </w:pPr>
            <w:r>
              <w:t>质量指标</w:t>
            </w:r>
          </w:p>
        </w:tc>
        <w:tc>
          <w:tcPr>
            <w:tcW w:w="673" w:type="pct"/>
            <w:vAlign w:val="center"/>
          </w:tcPr>
          <w:p>
            <w:pPr>
              <w:pStyle w:val="19"/>
            </w:pPr>
            <w:r>
              <w:t>发放准确率</w:t>
            </w:r>
          </w:p>
        </w:tc>
        <w:tc>
          <w:tcPr>
            <w:tcW w:w="1461" w:type="pct"/>
            <w:vAlign w:val="center"/>
          </w:tcPr>
          <w:p>
            <w:pPr>
              <w:pStyle w:val="19"/>
            </w:pPr>
            <w:r>
              <w:t>向预算外人员、人事代理人员及劳务派遣人员支付工资及福利费的准确程度</w:t>
            </w:r>
          </w:p>
        </w:tc>
        <w:tc>
          <w:tcPr>
            <w:tcW w:w="645" w:type="pct"/>
            <w:vAlign w:val="center"/>
          </w:tcPr>
          <w:p>
            <w:pPr>
              <w:pStyle w:val="19"/>
            </w:pPr>
            <w:r>
              <w:t>100百分比</w:t>
            </w:r>
          </w:p>
        </w:tc>
        <w:tc>
          <w:tcPr>
            <w:tcW w:w="930" w:type="pct"/>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2" w:hRule="atLeast"/>
          <w:jc w:val="center"/>
        </w:trPr>
        <w:tc>
          <w:tcPr>
            <w:tcW w:w="644" w:type="pct"/>
            <w:vMerge w:val="continue"/>
            <w:vAlign w:val="center"/>
          </w:tcPr>
          <w:p/>
        </w:tc>
        <w:tc>
          <w:tcPr>
            <w:tcW w:w="645" w:type="pct"/>
            <w:vAlign w:val="center"/>
          </w:tcPr>
          <w:p>
            <w:pPr>
              <w:pStyle w:val="19"/>
            </w:pPr>
            <w:r>
              <w:t>时效指标</w:t>
            </w:r>
          </w:p>
        </w:tc>
        <w:tc>
          <w:tcPr>
            <w:tcW w:w="673" w:type="pct"/>
            <w:vAlign w:val="center"/>
          </w:tcPr>
          <w:p>
            <w:pPr>
              <w:pStyle w:val="19"/>
            </w:pPr>
            <w:r>
              <w:t>发放及时率</w:t>
            </w:r>
          </w:p>
        </w:tc>
        <w:tc>
          <w:tcPr>
            <w:tcW w:w="1461" w:type="pct"/>
            <w:vAlign w:val="center"/>
          </w:tcPr>
          <w:p>
            <w:pPr>
              <w:pStyle w:val="19"/>
            </w:pPr>
            <w:r>
              <w:t>及时发放工资福利人数占应发放人数的比率</w:t>
            </w:r>
          </w:p>
        </w:tc>
        <w:tc>
          <w:tcPr>
            <w:tcW w:w="645" w:type="pct"/>
            <w:vAlign w:val="center"/>
          </w:tcPr>
          <w:p>
            <w:pPr>
              <w:pStyle w:val="19"/>
            </w:pPr>
            <w:r>
              <w:t>100百分比</w:t>
            </w:r>
          </w:p>
        </w:tc>
        <w:tc>
          <w:tcPr>
            <w:tcW w:w="930" w:type="pct"/>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5" w:type="pct"/>
            <w:vAlign w:val="center"/>
          </w:tcPr>
          <w:p>
            <w:pPr>
              <w:pStyle w:val="19"/>
            </w:pPr>
            <w:r>
              <w:t>成本指标</w:t>
            </w:r>
          </w:p>
        </w:tc>
        <w:tc>
          <w:tcPr>
            <w:tcW w:w="673" w:type="pct"/>
            <w:vAlign w:val="center"/>
          </w:tcPr>
          <w:p>
            <w:pPr>
              <w:pStyle w:val="19"/>
            </w:pPr>
            <w:r>
              <w:t>人均成本</w:t>
            </w:r>
          </w:p>
        </w:tc>
        <w:tc>
          <w:tcPr>
            <w:tcW w:w="1461" w:type="pct"/>
            <w:vAlign w:val="center"/>
          </w:tcPr>
          <w:p>
            <w:pPr>
              <w:pStyle w:val="19"/>
            </w:pPr>
            <w:r>
              <w:t>人均工资及福利费标准的控制情况</w:t>
            </w:r>
          </w:p>
        </w:tc>
        <w:tc>
          <w:tcPr>
            <w:tcW w:w="645" w:type="pct"/>
            <w:vAlign w:val="center"/>
          </w:tcPr>
          <w:p>
            <w:pPr>
              <w:pStyle w:val="19"/>
            </w:pPr>
            <w:r>
              <w:t>≤11万元</w:t>
            </w:r>
          </w:p>
        </w:tc>
        <w:tc>
          <w:tcPr>
            <w:tcW w:w="930" w:type="pct"/>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644" w:type="pct"/>
            <w:vMerge w:val="restart"/>
            <w:vAlign w:val="center"/>
          </w:tcPr>
          <w:p>
            <w:pPr>
              <w:pStyle w:val="20"/>
            </w:pPr>
            <w:r>
              <w:t>效益指标</w:t>
            </w:r>
          </w:p>
        </w:tc>
        <w:tc>
          <w:tcPr>
            <w:tcW w:w="645" w:type="pct"/>
            <w:vAlign w:val="center"/>
          </w:tcPr>
          <w:p>
            <w:pPr>
              <w:pStyle w:val="19"/>
            </w:pPr>
            <w:r>
              <w:t>社会效益指标</w:t>
            </w:r>
          </w:p>
        </w:tc>
        <w:tc>
          <w:tcPr>
            <w:tcW w:w="673" w:type="pct"/>
            <w:vAlign w:val="center"/>
          </w:tcPr>
          <w:p>
            <w:pPr>
              <w:pStyle w:val="19"/>
            </w:pPr>
            <w:r>
              <w:t>机关正常运转天数</w:t>
            </w:r>
          </w:p>
        </w:tc>
        <w:tc>
          <w:tcPr>
            <w:tcW w:w="1461" w:type="pct"/>
            <w:vAlign w:val="center"/>
          </w:tcPr>
          <w:p>
            <w:pPr>
              <w:pStyle w:val="19"/>
            </w:pPr>
            <w:r>
              <w:t>保障机关单位日常业务正常开展的情况</w:t>
            </w:r>
          </w:p>
        </w:tc>
        <w:tc>
          <w:tcPr>
            <w:tcW w:w="645" w:type="pct"/>
            <w:vAlign w:val="center"/>
          </w:tcPr>
          <w:p>
            <w:pPr>
              <w:pStyle w:val="19"/>
            </w:pPr>
            <w:r>
              <w:t>365天</w:t>
            </w:r>
          </w:p>
        </w:tc>
        <w:tc>
          <w:tcPr>
            <w:tcW w:w="930" w:type="pct"/>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2" w:hRule="atLeast"/>
          <w:jc w:val="center"/>
        </w:trPr>
        <w:tc>
          <w:tcPr>
            <w:tcW w:w="644" w:type="pct"/>
            <w:vMerge w:val="continue"/>
            <w:vAlign w:val="center"/>
          </w:tcPr>
          <w:p/>
        </w:tc>
        <w:tc>
          <w:tcPr>
            <w:tcW w:w="645"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考核项目单位相关管理机制建立健全情况</w:t>
            </w:r>
          </w:p>
        </w:tc>
        <w:tc>
          <w:tcPr>
            <w:tcW w:w="645" w:type="pct"/>
            <w:vAlign w:val="center"/>
          </w:tcPr>
          <w:p>
            <w:pPr>
              <w:pStyle w:val="19"/>
            </w:pPr>
            <w:r>
              <w:t>健全</w:t>
            </w:r>
          </w:p>
        </w:tc>
        <w:tc>
          <w:tcPr>
            <w:tcW w:w="930" w:type="pct"/>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2" w:hRule="atLeast"/>
          <w:jc w:val="center"/>
        </w:trPr>
        <w:tc>
          <w:tcPr>
            <w:tcW w:w="644" w:type="pct"/>
            <w:vAlign w:val="center"/>
          </w:tcPr>
          <w:p>
            <w:pPr>
              <w:pStyle w:val="20"/>
            </w:pPr>
            <w:r>
              <w:t>满意度指标</w:t>
            </w:r>
          </w:p>
        </w:tc>
        <w:tc>
          <w:tcPr>
            <w:tcW w:w="645" w:type="pct"/>
            <w:vAlign w:val="center"/>
          </w:tcPr>
          <w:p>
            <w:pPr>
              <w:pStyle w:val="19"/>
            </w:pPr>
            <w:r>
              <w:t>服务对象满意度指标</w:t>
            </w:r>
          </w:p>
        </w:tc>
        <w:tc>
          <w:tcPr>
            <w:tcW w:w="673" w:type="pct"/>
            <w:vAlign w:val="center"/>
          </w:tcPr>
          <w:p>
            <w:pPr>
              <w:pStyle w:val="19"/>
            </w:pPr>
            <w:r>
              <w:t>人员满意度</w:t>
            </w:r>
          </w:p>
        </w:tc>
        <w:tc>
          <w:tcPr>
            <w:tcW w:w="1461" w:type="pct"/>
            <w:vAlign w:val="center"/>
          </w:tcPr>
          <w:p>
            <w:pPr>
              <w:pStyle w:val="19"/>
            </w:pPr>
            <w:r>
              <w:t>预算外人员、人事代理及劳务派遣人员对项目开展的满意程度</w:t>
            </w:r>
          </w:p>
        </w:tc>
        <w:tc>
          <w:tcPr>
            <w:tcW w:w="645" w:type="pct"/>
            <w:vAlign w:val="center"/>
          </w:tcPr>
          <w:p>
            <w:pPr>
              <w:pStyle w:val="19"/>
            </w:pPr>
            <w:r>
              <w:t>≥90百分比</w:t>
            </w:r>
          </w:p>
        </w:tc>
        <w:tc>
          <w:tcPr>
            <w:tcW w:w="930" w:type="pct"/>
            <w:vAlign w:val="center"/>
          </w:tcPr>
          <w:p>
            <w:pPr>
              <w:pStyle w:val="19"/>
            </w:pPr>
            <w:r>
              <w:t>调查问卷</w:t>
            </w:r>
          </w:p>
        </w:tc>
      </w:tr>
    </w:tbl>
    <w:p>
      <w:pPr>
        <w:numPr>
          <w:ilvl w:val="0"/>
          <w:numId w:val="0"/>
        </w:numPr>
        <w:ind w:left="560" w:leftChars="0"/>
        <w:outlineLvl w:val="3"/>
        <w:rPr>
          <w:rFonts w:ascii="方正仿宋_GBK" w:hAnsi="方正仿宋_GBK" w:eastAsia="方正仿宋_GBK" w:cs="方正仿宋_GBK"/>
          <w:color w:val="000000"/>
          <w:sz w:val="28"/>
        </w:rPr>
      </w:pP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产品质量抽检经费绩效目标表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绩效目标</w:t>
            </w:r>
          </w:p>
        </w:tc>
        <w:tc>
          <w:tcPr>
            <w:tcW w:w="4355" w:type="pct"/>
            <w:vAlign w:val="center"/>
          </w:tcPr>
          <w:p>
            <w:pPr>
              <w:pStyle w:val="19"/>
            </w:pPr>
            <w:r>
              <w:t>1.通过项目的开展，促进产品质量整体提升，实现我县流通领域成品油及车用尿素等质量整体提升，降低不合格油品及车用尿素造成的大气污染，有效保障我县人民财产安全和身体健康，加强产品质量监督管理，规范产品质量监督抽查，保护消费者的合法权益。</w:t>
            </w:r>
          </w:p>
          <w:p>
            <w:pPr>
              <w:pStyle w:val="19"/>
            </w:pPr>
            <w:r>
              <w:t>2.通过项目的开展，抽检批次至少240批次以上，成品油覆盖率达到100%，成本控制在标准以内，成本油抽检合格率至少为90%，消费品监督抽查不合格发现率不超过20%，确保工作及时完成，促进产品质量整体提升。</w:t>
            </w:r>
            <w:r>
              <w:tab/>
            </w:r>
            <w:r>
              <w:tab/>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成品油及尿素抽检批次</w:t>
            </w:r>
          </w:p>
        </w:tc>
        <w:tc>
          <w:tcPr>
            <w:tcW w:w="1461" w:type="pct"/>
            <w:vAlign w:val="center"/>
          </w:tcPr>
          <w:p>
            <w:pPr>
              <w:pStyle w:val="19"/>
            </w:pPr>
            <w:r>
              <w:t>成品油及车用尿素全年抽检批次</w:t>
            </w:r>
          </w:p>
        </w:tc>
        <w:tc>
          <w:tcPr>
            <w:tcW w:w="644" w:type="pct"/>
            <w:vAlign w:val="center"/>
          </w:tcPr>
          <w:p>
            <w:pPr>
              <w:pStyle w:val="19"/>
            </w:pPr>
            <w:r>
              <w:t>≥210批次</w:t>
            </w:r>
          </w:p>
        </w:tc>
        <w:tc>
          <w:tcPr>
            <w:tcW w:w="931" w:type="pct"/>
            <w:vAlign w:val="center"/>
          </w:tcPr>
          <w:p>
            <w:pPr>
              <w:pStyle w:val="19"/>
            </w:pPr>
            <w:r>
              <w:t>【香油综治办字（2022）4号】及年度抽检计划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数量指标</w:t>
            </w:r>
          </w:p>
        </w:tc>
        <w:tc>
          <w:tcPr>
            <w:tcW w:w="673" w:type="pct"/>
            <w:vAlign w:val="center"/>
          </w:tcPr>
          <w:p>
            <w:pPr>
              <w:pStyle w:val="19"/>
            </w:pPr>
            <w:r>
              <w:t>其他产品抽检批次</w:t>
            </w:r>
          </w:p>
        </w:tc>
        <w:tc>
          <w:tcPr>
            <w:tcW w:w="1461" w:type="pct"/>
            <w:vAlign w:val="center"/>
          </w:tcPr>
          <w:p>
            <w:pPr>
              <w:pStyle w:val="19"/>
            </w:pPr>
            <w:r>
              <w:t>工业生产资料、消费类产品等其他产品全年抽检批次</w:t>
            </w:r>
          </w:p>
        </w:tc>
        <w:tc>
          <w:tcPr>
            <w:tcW w:w="644" w:type="pct"/>
            <w:vAlign w:val="center"/>
          </w:tcPr>
          <w:p>
            <w:pPr>
              <w:pStyle w:val="19"/>
            </w:pPr>
            <w:r>
              <w:t>≥30批次</w:t>
            </w:r>
          </w:p>
        </w:tc>
        <w:tc>
          <w:tcPr>
            <w:tcW w:w="931" w:type="pct"/>
            <w:vAlign w:val="center"/>
          </w:tcPr>
          <w:p>
            <w:pPr>
              <w:pStyle w:val="19"/>
            </w:pPr>
            <w:r>
              <w:t>《中华人民共和国产品质量法》及年度抽检计划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成品油覆盖率</w:t>
            </w:r>
          </w:p>
        </w:tc>
        <w:tc>
          <w:tcPr>
            <w:tcW w:w="1461" w:type="pct"/>
            <w:vAlign w:val="center"/>
          </w:tcPr>
          <w:p>
            <w:pPr>
              <w:pStyle w:val="19"/>
            </w:pPr>
            <w:r>
              <w:t>实际抽检的加油站数量与辖区内加油站总数量的比率</w:t>
            </w:r>
          </w:p>
        </w:tc>
        <w:tc>
          <w:tcPr>
            <w:tcW w:w="644" w:type="pct"/>
            <w:vAlign w:val="center"/>
          </w:tcPr>
          <w:p>
            <w:pPr>
              <w:pStyle w:val="19"/>
            </w:pPr>
            <w:r>
              <w:t>100%</w:t>
            </w:r>
          </w:p>
        </w:tc>
        <w:tc>
          <w:tcPr>
            <w:tcW w:w="931" w:type="pct"/>
            <w:vAlign w:val="center"/>
          </w:tcPr>
          <w:p>
            <w:pPr>
              <w:pStyle w:val="19"/>
            </w:pPr>
            <w:r>
              <w:t>【香油综治办字（2022）4号】等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消费品监督抽查不合格发现率</w:t>
            </w:r>
          </w:p>
        </w:tc>
        <w:tc>
          <w:tcPr>
            <w:tcW w:w="1461" w:type="pct"/>
            <w:vAlign w:val="center"/>
          </w:tcPr>
          <w:p>
            <w:pPr>
              <w:pStyle w:val="19"/>
            </w:pPr>
            <w:r>
              <w:t>监督抽查不合格产品占抽查总数的比例</w:t>
            </w:r>
          </w:p>
        </w:tc>
        <w:tc>
          <w:tcPr>
            <w:tcW w:w="644" w:type="pct"/>
            <w:vAlign w:val="center"/>
          </w:tcPr>
          <w:p>
            <w:pPr>
              <w:pStyle w:val="19"/>
            </w:pPr>
            <w:r>
              <w:t>≤20%</w:t>
            </w:r>
          </w:p>
        </w:tc>
        <w:tc>
          <w:tcPr>
            <w:tcW w:w="931" w:type="pct"/>
            <w:vAlign w:val="center"/>
          </w:tcPr>
          <w:p>
            <w:pPr>
              <w:pStyle w:val="19"/>
            </w:pPr>
            <w:r>
              <w:t>历史结果预估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完成及时性</w:t>
            </w:r>
          </w:p>
        </w:tc>
        <w:tc>
          <w:tcPr>
            <w:tcW w:w="1461" w:type="pct"/>
            <w:vAlign w:val="center"/>
          </w:tcPr>
          <w:p>
            <w:pPr>
              <w:pStyle w:val="19"/>
            </w:pPr>
            <w:r>
              <w:t>考核项目是否按计划时间完成</w:t>
            </w:r>
          </w:p>
        </w:tc>
        <w:tc>
          <w:tcPr>
            <w:tcW w:w="644" w:type="pct"/>
            <w:vAlign w:val="center"/>
          </w:tcPr>
          <w:p>
            <w:pPr>
              <w:pStyle w:val="19"/>
            </w:pPr>
            <w:r>
              <w:t>≤12月</w:t>
            </w:r>
          </w:p>
        </w:tc>
        <w:tc>
          <w:tcPr>
            <w:tcW w:w="931" w:type="pct"/>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产品单批次抽检成本</w:t>
            </w:r>
          </w:p>
        </w:tc>
        <w:tc>
          <w:tcPr>
            <w:tcW w:w="1461" w:type="pct"/>
            <w:vAlign w:val="center"/>
          </w:tcPr>
          <w:p>
            <w:pPr>
              <w:pStyle w:val="19"/>
            </w:pPr>
            <w:r>
              <w:t>工业生产资料、消费类产品等其他产品平均每批次抽检成本</w:t>
            </w:r>
          </w:p>
        </w:tc>
        <w:tc>
          <w:tcPr>
            <w:tcW w:w="644" w:type="pct"/>
            <w:vAlign w:val="center"/>
          </w:tcPr>
          <w:p>
            <w:pPr>
              <w:pStyle w:val="19"/>
            </w:pPr>
            <w:r>
              <w:t>≤0.35万元</w:t>
            </w:r>
          </w:p>
        </w:tc>
        <w:tc>
          <w:tcPr>
            <w:tcW w:w="931" w:type="pct"/>
            <w:vAlign w:val="center"/>
          </w:tcPr>
          <w:p>
            <w:pPr>
              <w:pStyle w:val="19"/>
            </w:pPr>
            <w:r>
              <w:t>历史招标文件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成品油单批次抽检成本</w:t>
            </w:r>
          </w:p>
        </w:tc>
        <w:tc>
          <w:tcPr>
            <w:tcW w:w="1461" w:type="pct"/>
            <w:vAlign w:val="center"/>
          </w:tcPr>
          <w:p>
            <w:pPr>
              <w:pStyle w:val="19"/>
            </w:pPr>
            <w:r>
              <w:t>成品油平均每批次抽检成本</w:t>
            </w:r>
          </w:p>
        </w:tc>
        <w:tc>
          <w:tcPr>
            <w:tcW w:w="644" w:type="pct"/>
            <w:vAlign w:val="center"/>
          </w:tcPr>
          <w:p>
            <w:pPr>
              <w:pStyle w:val="19"/>
            </w:pPr>
            <w:r>
              <w:t>≤0.12万元</w:t>
            </w:r>
          </w:p>
        </w:tc>
        <w:tc>
          <w:tcPr>
            <w:tcW w:w="931" w:type="pct"/>
            <w:vAlign w:val="center"/>
          </w:tcPr>
          <w:p>
            <w:pPr>
              <w:pStyle w:val="19"/>
            </w:pPr>
            <w:r>
              <w:t>历史招标文件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抽检合格率</w:t>
            </w:r>
          </w:p>
        </w:tc>
        <w:tc>
          <w:tcPr>
            <w:tcW w:w="1461" w:type="pct"/>
            <w:vAlign w:val="center"/>
          </w:tcPr>
          <w:p>
            <w:pPr>
              <w:pStyle w:val="19"/>
            </w:pPr>
            <w:r>
              <w:t>抽检成品油合格批次与总抽检批次的比率</w:t>
            </w:r>
          </w:p>
        </w:tc>
        <w:tc>
          <w:tcPr>
            <w:tcW w:w="644" w:type="pct"/>
            <w:vAlign w:val="center"/>
          </w:tcPr>
          <w:p>
            <w:pPr>
              <w:pStyle w:val="19"/>
            </w:pPr>
            <w:r>
              <w:t>≥90%</w:t>
            </w:r>
          </w:p>
        </w:tc>
        <w:tc>
          <w:tcPr>
            <w:tcW w:w="931" w:type="pct"/>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社会效益指标</w:t>
            </w:r>
          </w:p>
        </w:tc>
        <w:tc>
          <w:tcPr>
            <w:tcW w:w="673" w:type="pct"/>
            <w:vAlign w:val="center"/>
          </w:tcPr>
          <w:p>
            <w:pPr>
              <w:pStyle w:val="19"/>
            </w:pPr>
            <w:r>
              <w:t>不合格产品查处率</w:t>
            </w:r>
          </w:p>
        </w:tc>
        <w:tc>
          <w:tcPr>
            <w:tcW w:w="1461" w:type="pct"/>
            <w:vAlign w:val="center"/>
          </w:tcPr>
          <w:p>
            <w:pPr>
              <w:pStyle w:val="19"/>
            </w:pPr>
            <w:r>
              <w:t>监督抽查产品中不合格产品查处数量占不合格产品数量的比率</w:t>
            </w:r>
          </w:p>
        </w:tc>
        <w:tc>
          <w:tcPr>
            <w:tcW w:w="644" w:type="pct"/>
            <w:vAlign w:val="center"/>
          </w:tcPr>
          <w:p>
            <w:pPr>
              <w:pStyle w:val="19"/>
            </w:pPr>
            <w:r>
              <w:t>100%</w:t>
            </w:r>
          </w:p>
        </w:tc>
        <w:tc>
          <w:tcPr>
            <w:tcW w:w="931" w:type="pct"/>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考核项目单位相关管理机制的建立健全情况</w:t>
            </w:r>
          </w:p>
        </w:tc>
        <w:tc>
          <w:tcPr>
            <w:tcW w:w="644" w:type="pct"/>
            <w:vAlign w:val="center"/>
          </w:tcPr>
          <w:p>
            <w:pPr>
              <w:pStyle w:val="19"/>
            </w:pPr>
            <w:r>
              <w:t>健全</w:t>
            </w:r>
          </w:p>
        </w:tc>
        <w:tc>
          <w:tcPr>
            <w:tcW w:w="931" w:type="pct"/>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生态效益指标</w:t>
            </w:r>
          </w:p>
        </w:tc>
        <w:tc>
          <w:tcPr>
            <w:tcW w:w="673" w:type="pct"/>
            <w:vAlign w:val="center"/>
          </w:tcPr>
          <w:p>
            <w:pPr>
              <w:pStyle w:val="19"/>
            </w:pPr>
            <w:r>
              <w:t>有效降低大气污染</w:t>
            </w:r>
          </w:p>
        </w:tc>
        <w:tc>
          <w:tcPr>
            <w:tcW w:w="1461" w:type="pct"/>
            <w:vAlign w:val="center"/>
          </w:tcPr>
          <w:p>
            <w:pPr>
              <w:pStyle w:val="19"/>
            </w:pPr>
            <w:r>
              <w:t>考核成品油检测中相关检测项是否在标准内</w:t>
            </w:r>
          </w:p>
        </w:tc>
        <w:tc>
          <w:tcPr>
            <w:tcW w:w="644" w:type="pct"/>
            <w:vAlign w:val="center"/>
          </w:tcPr>
          <w:p>
            <w:pPr>
              <w:pStyle w:val="19"/>
            </w:pPr>
            <w:r>
              <w:t>有效 降低</w:t>
            </w:r>
          </w:p>
        </w:tc>
        <w:tc>
          <w:tcPr>
            <w:tcW w:w="931" w:type="pct"/>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群众满意度</w:t>
            </w:r>
          </w:p>
        </w:tc>
        <w:tc>
          <w:tcPr>
            <w:tcW w:w="1461" w:type="pct"/>
            <w:vAlign w:val="center"/>
          </w:tcPr>
          <w:p>
            <w:pPr>
              <w:pStyle w:val="19"/>
            </w:pPr>
            <w:r>
              <w:t>调查中满意和较满意人数占调查总数的比例</w:t>
            </w:r>
          </w:p>
        </w:tc>
        <w:tc>
          <w:tcPr>
            <w:tcW w:w="644" w:type="pct"/>
            <w:vAlign w:val="center"/>
          </w:tcPr>
          <w:p>
            <w:pPr>
              <w:pStyle w:val="19"/>
            </w:pPr>
            <w:r>
              <w:t>≥90%</w:t>
            </w:r>
          </w:p>
        </w:tc>
        <w:tc>
          <w:tcPr>
            <w:tcW w:w="931" w:type="pct"/>
            <w:vAlign w:val="center"/>
          </w:tcPr>
          <w:p>
            <w:pPr>
              <w:pStyle w:val="19"/>
            </w:pPr>
            <w:r>
              <w:t>调查问卷</w:t>
            </w:r>
          </w:p>
        </w:tc>
      </w:tr>
    </w:tbl>
    <w:p>
      <w:pPr>
        <w:widowControl/>
        <w:jc w:val="left"/>
        <w:rPr>
          <w:rFonts w:ascii="仿宋_GB2312" w:eastAsia="仿宋_GB2312" w:cs="Times New Roman"/>
          <w:sz w:val="32"/>
          <w:szCs w:val="32"/>
        </w:rPr>
      </w:pP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村街食品药品安全协管员专项补贴经费绩效目标表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7" w:hRule="atLeast"/>
          <w:jc w:val="center"/>
        </w:trPr>
        <w:tc>
          <w:tcPr>
            <w:tcW w:w="644" w:type="pct"/>
            <w:vAlign w:val="center"/>
          </w:tcPr>
          <w:p>
            <w:pPr>
              <w:pStyle w:val="18"/>
            </w:pPr>
            <w:r>
              <w:t>绩效目标</w:t>
            </w:r>
          </w:p>
        </w:tc>
        <w:tc>
          <w:tcPr>
            <w:tcW w:w="4355" w:type="pct"/>
            <w:vAlign w:val="center"/>
          </w:tcPr>
          <w:p>
            <w:pPr>
              <w:pStyle w:val="19"/>
            </w:pPr>
            <w:r>
              <w:t>1.目标内容1通过该项目的实施，调动食品药品安全协管员工作积极性，提高全县基层食品药品安全监管水平，确保辖区人民群众饮食用药安全。</w:t>
            </w:r>
          </w:p>
          <w:p>
            <w:pPr>
              <w:pStyle w:val="19"/>
            </w:pPr>
            <w:r>
              <w:t>2.目标内容2通过对约328名村街食品药品安全协管员按照2400元/人的补贴标准进行及时、准确的补助，健全长效管理机制，确保全年无食品安全事故发生，使群众满意度不低于85%。</w:t>
            </w: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1"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补助人数</w:t>
            </w:r>
          </w:p>
        </w:tc>
        <w:tc>
          <w:tcPr>
            <w:tcW w:w="1461" w:type="pct"/>
            <w:vAlign w:val="center"/>
          </w:tcPr>
          <w:p>
            <w:pPr>
              <w:pStyle w:val="19"/>
            </w:pPr>
            <w:r>
              <w:t>补贴食品药品安全协管员人数</w:t>
            </w:r>
          </w:p>
        </w:tc>
        <w:tc>
          <w:tcPr>
            <w:tcW w:w="644" w:type="pct"/>
            <w:vAlign w:val="center"/>
          </w:tcPr>
          <w:p>
            <w:pPr>
              <w:pStyle w:val="19"/>
            </w:pPr>
            <w:r>
              <w:t>≤328人</w:t>
            </w:r>
          </w:p>
        </w:tc>
        <w:tc>
          <w:tcPr>
            <w:tcW w:w="931" w:type="pct"/>
            <w:vAlign w:val="center"/>
          </w:tcPr>
          <w:p>
            <w:pPr>
              <w:pStyle w:val="19"/>
            </w:pPr>
            <w:r>
              <w:t>补贴拨付明细表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发放准确率</w:t>
            </w:r>
          </w:p>
        </w:tc>
        <w:tc>
          <w:tcPr>
            <w:tcW w:w="1461" w:type="pct"/>
            <w:vAlign w:val="center"/>
          </w:tcPr>
          <w:p>
            <w:pPr>
              <w:pStyle w:val="19"/>
            </w:pPr>
            <w:r>
              <w:t>向食品药品协管员准确发放补贴的情况，主要指发放补贴金额是否准确</w:t>
            </w:r>
          </w:p>
        </w:tc>
        <w:tc>
          <w:tcPr>
            <w:tcW w:w="644" w:type="pct"/>
            <w:vAlign w:val="center"/>
          </w:tcPr>
          <w:p>
            <w:pPr>
              <w:pStyle w:val="19"/>
            </w:pPr>
            <w:r>
              <w:t>100%</w:t>
            </w:r>
          </w:p>
        </w:tc>
        <w:tc>
          <w:tcPr>
            <w:tcW w:w="931" w:type="pct"/>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发放及时性</w:t>
            </w:r>
          </w:p>
        </w:tc>
        <w:tc>
          <w:tcPr>
            <w:tcW w:w="1461" w:type="pct"/>
            <w:vAlign w:val="center"/>
          </w:tcPr>
          <w:p>
            <w:pPr>
              <w:pStyle w:val="19"/>
            </w:pPr>
            <w:r>
              <w:t>考核是否按照资金支出计划支付资金</w:t>
            </w:r>
          </w:p>
        </w:tc>
        <w:tc>
          <w:tcPr>
            <w:tcW w:w="644" w:type="pct"/>
            <w:vAlign w:val="center"/>
          </w:tcPr>
          <w:p>
            <w:pPr>
              <w:pStyle w:val="19"/>
            </w:pPr>
            <w:r>
              <w:t>及时</w:t>
            </w:r>
          </w:p>
        </w:tc>
        <w:tc>
          <w:tcPr>
            <w:tcW w:w="931" w:type="pct"/>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2"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人均补贴成本</w:t>
            </w:r>
          </w:p>
        </w:tc>
        <w:tc>
          <w:tcPr>
            <w:tcW w:w="1461" w:type="pct"/>
            <w:vAlign w:val="center"/>
          </w:tcPr>
          <w:p>
            <w:pPr>
              <w:pStyle w:val="19"/>
            </w:pPr>
            <w:r>
              <w:t>人均补贴成本</w:t>
            </w:r>
          </w:p>
        </w:tc>
        <w:tc>
          <w:tcPr>
            <w:tcW w:w="644" w:type="pct"/>
            <w:vAlign w:val="center"/>
          </w:tcPr>
          <w:p>
            <w:pPr>
              <w:pStyle w:val="19"/>
            </w:pPr>
            <w:r>
              <w:t>≤2400元</w:t>
            </w:r>
          </w:p>
        </w:tc>
        <w:tc>
          <w:tcPr>
            <w:tcW w:w="931" w:type="pct"/>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食品安全事故次数</w:t>
            </w:r>
          </w:p>
        </w:tc>
        <w:tc>
          <w:tcPr>
            <w:tcW w:w="1461" w:type="pct"/>
            <w:vAlign w:val="center"/>
          </w:tcPr>
          <w:p>
            <w:pPr>
              <w:pStyle w:val="19"/>
            </w:pPr>
            <w:r>
              <w:t>重大食品安全事件发生次数</w:t>
            </w:r>
          </w:p>
        </w:tc>
        <w:tc>
          <w:tcPr>
            <w:tcW w:w="644" w:type="pct"/>
            <w:vAlign w:val="center"/>
          </w:tcPr>
          <w:p>
            <w:pPr>
              <w:pStyle w:val="19"/>
            </w:pPr>
            <w:r>
              <w:t>0次</w:t>
            </w:r>
          </w:p>
        </w:tc>
        <w:tc>
          <w:tcPr>
            <w:tcW w:w="931" w:type="pct"/>
            <w:vAlign w:val="center"/>
          </w:tcPr>
          <w:p>
            <w:pPr>
              <w:pStyle w:val="19"/>
            </w:pPr>
            <w:r>
              <w:t>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4"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考核项目单位相关管理机制建立健全情况</w:t>
            </w:r>
          </w:p>
        </w:tc>
        <w:tc>
          <w:tcPr>
            <w:tcW w:w="644" w:type="pct"/>
            <w:vAlign w:val="center"/>
          </w:tcPr>
          <w:p>
            <w:pPr>
              <w:pStyle w:val="19"/>
            </w:pPr>
            <w:r>
              <w:t>健全</w:t>
            </w:r>
          </w:p>
        </w:tc>
        <w:tc>
          <w:tcPr>
            <w:tcW w:w="931" w:type="pct"/>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6"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群众的满意度</w:t>
            </w:r>
          </w:p>
        </w:tc>
        <w:tc>
          <w:tcPr>
            <w:tcW w:w="1461" w:type="pct"/>
            <w:vAlign w:val="center"/>
          </w:tcPr>
          <w:p>
            <w:pPr>
              <w:pStyle w:val="19"/>
            </w:pPr>
            <w:r>
              <w:t>群众对项目工作的满意程度</w:t>
            </w:r>
          </w:p>
        </w:tc>
        <w:tc>
          <w:tcPr>
            <w:tcW w:w="644" w:type="pct"/>
            <w:vAlign w:val="center"/>
          </w:tcPr>
          <w:p>
            <w:pPr>
              <w:pStyle w:val="19"/>
            </w:pPr>
            <w:r>
              <w:t>≥90%</w:t>
            </w:r>
          </w:p>
        </w:tc>
        <w:tc>
          <w:tcPr>
            <w:tcW w:w="931" w:type="pct"/>
            <w:vAlign w:val="center"/>
          </w:tcPr>
          <w:p>
            <w:pPr>
              <w:pStyle w:val="19"/>
            </w:pPr>
            <w:r>
              <w:t>根据实际调查询问</w:t>
            </w:r>
          </w:p>
        </w:tc>
      </w:tr>
    </w:tbl>
    <w:p>
      <w:pPr>
        <w:sectPr>
          <w:pgSz w:w="16840" w:h="11900" w:orient="landscape"/>
          <w:pgMar w:top="1304" w:right="1984" w:bottom="1304" w:left="1134" w:header="720" w:footer="720" w:gutter="0"/>
          <w:cols w:space="720" w:num="1"/>
        </w:sectPr>
      </w:pPr>
    </w:p>
    <w:p>
      <w:pPr>
        <w:jc w:val="both"/>
      </w:pPr>
      <w:r>
        <w:rPr>
          <w:rFonts w:ascii="方正仿宋_GBK" w:hAnsi="方正仿宋_GBK" w:eastAsia="方正仿宋_GBK" w:cs="方正仿宋_GBK"/>
          <w:color w:val="000000"/>
          <w:sz w:val="28"/>
        </w:rPr>
        <w:t xml:space="preserve"> </w:t>
      </w: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冀财行【2022】104号关于提前下达2023年市场监管专项补助经费的通知绩效目标表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980" w:hRule="atLeast"/>
          <w:jc w:val="center"/>
        </w:trPr>
        <w:tc>
          <w:tcPr>
            <w:tcW w:w="644" w:type="pct"/>
            <w:vAlign w:val="center"/>
          </w:tcPr>
          <w:p>
            <w:pPr>
              <w:pStyle w:val="18"/>
            </w:pPr>
            <w:r>
              <w:t>绩效目标</w:t>
            </w:r>
          </w:p>
        </w:tc>
        <w:tc>
          <w:tcPr>
            <w:tcW w:w="4355" w:type="pct"/>
            <w:vAlign w:val="center"/>
          </w:tcPr>
          <w:p>
            <w:pPr>
              <w:pStyle w:val="19"/>
            </w:pPr>
            <w:r>
              <w:t>1.通过项目的开展，实现全面提升基层建设能力、构建新型市场监管体系战略，建设“权责明确、秩序规范、保障到位、监管有力、素质过硬、作风优良”的基层市场监管组织，为建设经济强市、美丽廊坊提供强有力的支撑和保障。</w:t>
            </w:r>
            <w:r>
              <w:tab/>
            </w:r>
            <w:r>
              <w:tab/>
            </w:r>
            <w:r>
              <w:tab/>
            </w:r>
            <w:r>
              <w:tab/>
            </w:r>
            <w:r>
              <w:tab/>
            </w:r>
            <w:r>
              <w:tab/>
            </w:r>
            <w:r>
              <w:tab/>
            </w:r>
            <w:r>
              <w:tab/>
            </w:r>
          </w:p>
          <w:p>
            <w:pPr>
              <w:pStyle w:val="19"/>
            </w:pPr>
          </w:p>
          <w:p>
            <w:pPr>
              <w:pStyle w:val="19"/>
            </w:pPr>
            <w:r>
              <w:t>2.通过项目的开展完成基层分局改造项目，配套设施装备，优化办公环境、强化技术保障、提高工作效率、提升监管能力，保障市场安全。</w:t>
            </w: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标准化建设基层分局个数</w:t>
            </w:r>
          </w:p>
        </w:tc>
        <w:tc>
          <w:tcPr>
            <w:tcW w:w="1461" w:type="pct"/>
            <w:vAlign w:val="center"/>
          </w:tcPr>
          <w:p>
            <w:pPr>
              <w:pStyle w:val="19"/>
            </w:pPr>
            <w:r>
              <w:t>标准化、规范化建设改造基层分局个数</w:t>
            </w:r>
          </w:p>
        </w:tc>
        <w:tc>
          <w:tcPr>
            <w:tcW w:w="644" w:type="pct"/>
            <w:vAlign w:val="center"/>
          </w:tcPr>
          <w:p>
            <w:pPr>
              <w:pStyle w:val="19"/>
            </w:pPr>
            <w:r>
              <w:t>3个</w:t>
            </w:r>
          </w:p>
        </w:tc>
        <w:tc>
          <w:tcPr>
            <w:tcW w:w="931" w:type="pct"/>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644" w:type="pct"/>
            <w:vMerge w:val="continue"/>
            <w:vAlign w:val="center"/>
          </w:tcPr>
          <w:p/>
        </w:tc>
        <w:tc>
          <w:tcPr>
            <w:tcW w:w="644" w:type="pct"/>
            <w:vAlign w:val="center"/>
          </w:tcPr>
          <w:p>
            <w:pPr>
              <w:pStyle w:val="19"/>
            </w:pPr>
            <w:r>
              <w:t>数量指标</w:t>
            </w:r>
          </w:p>
        </w:tc>
        <w:tc>
          <w:tcPr>
            <w:tcW w:w="673" w:type="pct"/>
            <w:vAlign w:val="center"/>
          </w:tcPr>
          <w:p>
            <w:pPr>
              <w:pStyle w:val="19"/>
            </w:pPr>
            <w:r>
              <w:t>专项整治行动次数</w:t>
            </w:r>
          </w:p>
        </w:tc>
        <w:tc>
          <w:tcPr>
            <w:tcW w:w="1461" w:type="pct"/>
            <w:vAlign w:val="center"/>
          </w:tcPr>
          <w:p>
            <w:pPr>
              <w:pStyle w:val="19"/>
            </w:pPr>
            <w:r>
              <w:t>市场专项整治行动开展次数</w:t>
            </w:r>
          </w:p>
        </w:tc>
        <w:tc>
          <w:tcPr>
            <w:tcW w:w="644" w:type="pct"/>
            <w:vAlign w:val="center"/>
          </w:tcPr>
          <w:p>
            <w:pPr>
              <w:pStyle w:val="19"/>
            </w:pPr>
            <w:r>
              <w:t>≥6次</w:t>
            </w:r>
          </w:p>
        </w:tc>
        <w:tc>
          <w:tcPr>
            <w:tcW w:w="931" w:type="pct"/>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监管执法计划完成率</w:t>
            </w:r>
          </w:p>
        </w:tc>
        <w:tc>
          <w:tcPr>
            <w:tcW w:w="1461" w:type="pct"/>
            <w:vAlign w:val="center"/>
          </w:tcPr>
          <w:p>
            <w:pPr>
              <w:pStyle w:val="19"/>
            </w:pPr>
            <w:r>
              <w:t>市场监管执法计划完成率</w:t>
            </w:r>
          </w:p>
        </w:tc>
        <w:tc>
          <w:tcPr>
            <w:tcW w:w="644" w:type="pct"/>
            <w:vAlign w:val="center"/>
          </w:tcPr>
          <w:p>
            <w:pPr>
              <w:pStyle w:val="19"/>
            </w:pPr>
            <w:r>
              <w:t>≥90百分比</w:t>
            </w:r>
          </w:p>
        </w:tc>
        <w:tc>
          <w:tcPr>
            <w:tcW w:w="931" w:type="pct"/>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完工项目验收合格率</w:t>
            </w:r>
          </w:p>
        </w:tc>
        <w:tc>
          <w:tcPr>
            <w:tcW w:w="1461" w:type="pct"/>
            <w:vAlign w:val="center"/>
          </w:tcPr>
          <w:p>
            <w:pPr>
              <w:pStyle w:val="19"/>
            </w:pPr>
            <w:r>
              <w:t>完工项目验收合格率</w:t>
            </w:r>
          </w:p>
        </w:tc>
        <w:tc>
          <w:tcPr>
            <w:tcW w:w="644" w:type="pct"/>
            <w:vAlign w:val="center"/>
          </w:tcPr>
          <w:p>
            <w:pPr>
              <w:pStyle w:val="19"/>
            </w:pPr>
            <w:r>
              <w:t>100百分比</w:t>
            </w:r>
          </w:p>
        </w:tc>
        <w:tc>
          <w:tcPr>
            <w:tcW w:w="931" w:type="pct"/>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完成时间</w:t>
            </w:r>
          </w:p>
        </w:tc>
        <w:tc>
          <w:tcPr>
            <w:tcW w:w="1461" w:type="pct"/>
            <w:vAlign w:val="center"/>
          </w:tcPr>
          <w:p>
            <w:pPr>
              <w:pStyle w:val="19"/>
            </w:pPr>
            <w:r>
              <w:t>完成时间</w:t>
            </w:r>
          </w:p>
        </w:tc>
        <w:tc>
          <w:tcPr>
            <w:tcW w:w="644" w:type="pct"/>
            <w:vAlign w:val="center"/>
          </w:tcPr>
          <w:p>
            <w:pPr>
              <w:pStyle w:val="19"/>
            </w:pPr>
            <w:r>
              <w:t>≤12月</w:t>
            </w:r>
          </w:p>
        </w:tc>
        <w:tc>
          <w:tcPr>
            <w:tcW w:w="931" w:type="pct"/>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预算总成本</w:t>
            </w:r>
          </w:p>
        </w:tc>
        <w:tc>
          <w:tcPr>
            <w:tcW w:w="1461" w:type="pct"/>
            <w:vAlign w:val="center"/>
          </w:tcPr>
          <w:p>
            <w:pPr>
              <w:pStyle w:val="19"/>
            </w:pPr>
            <w:r>
              <w:t>预算总成本</w:t>
            </w:r>
          </w:p>
        </w:tc>
        <w:tc>
          <w:tcPr>
            <w:tcW w:w="644" w:type="pct"/>
            <w:vAlign w:val="center"/>
          </w:tcPr>
          <w:p>
            <w:pPr>
              <w:pStyle w:val="19"/>
            </w:pPr>
            <w:r>
              <w:t>≤85万元</w:t>
            </w:r>
          </w:p>
        </w:tc>
        <w:tc>
          <w:tcPr>
            <w:tcW w:w="931" w:type="pct"/>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重大案件发生次数</w:t>
            </w:r>
          </w:p>
        </w:tc>
        <w:tc>
          <w:tcPr>
            <w:tcW w:w="1461" w:type="pct"/>
            <w:vAlign w:val="center"/>
          </w:tcPr>
          <w:p>
            <w:pPr>
              <w:pStyle w:val="19"/>
            </w:pPr>
            <w:r>
              <w:t>重大案件发生次数</w:t>
            </w:r>
          </w:p>
        </w:tc>
        <w:tc>
          <w:tcPr>
            <w:tcW w:w="644" w:type="pct"/>
            <w:vAlign w:val="center"/>
          </w:tcPr>
          <w:p>
            <w:pPr>
              <w:pStyle w:val="19"/>
            </w:pPr>
            <w:r>
              <w:t>0次</w:t>
            </w:r>
          </w:p>
        </w:tc>
        <w:tc>
          <w:tcPr>
            <w:tcW w:w="931"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影响时效</w:t>
            </w:r>
          </w:p>
        </w:tc>
        <w:tc>
          <w:tcPr>
            <w:tcW w:w="1461" w:type="pct"/>
            <w:vAlign w:val="center"/>
          </w:tcPr>
          <w:p>
            <w:pPr>
              <w:pStyle w:val="19"/>
            </w:pPr>
            <w:r>
              <w:t>影响时效</w:t>
            </w:r>
          </w:p>
        </w:tc>
        <w:tc>
          <w:tcPr>
            <w:tcW w:w="644" w:type="pct"/>
            <w:vAlign w:val="center"/>
          </w:tcPr>
          <w:p>
            <w:pPr>
              <w:pStyle w:val="19"/>
            </w:pPr>
            <w:r>
              <w:t>≥1年</w:t>
            </w:r>
          </w:p>
        </w:tc>
        <w:tc>
          <w:tcPr>
            <w:tcW w:w="931" w:type="pct"/>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2"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群众满意度</w:t>
            </w:r>
          </w:p>
        </w:tc>
        <w:tc>
          <w:tcPr>
            <w:tcW w:w="1461" w:type="pct"/>
            <w:vAlign w:val="center"/>
          </w:tcPr>
          <w:p>
            <w:pPr>
              <w:pStyle w:val="19"/>
            </w:pPr>
            <w:r>
              <w:t>调查问卷中满意人数占总人数的比例</w:t>
            </w:r>
          </w:p>
        </w:tc>
        <w:tc>
          <w:tcPr>
            <w:tcW w:w="644" w:type="pct"/>
            <w:vAlign w:val="center"/>
          </w:tcPr>
          <w:p>
            <w:pPr>
              <w:pStyle w:val="19"/>
            </w:pPr>
            <w:r>
              <w:t>≥85百分比</w:t>
            </w:r>
          </w:p>
        </w:tc>
        <w:tc>
          <w:tcPr>
            <w:tcW w:w="931" w:type="pct"/>
            <w:vAlign w:val="center"/>
          </w:tcPr>
          <w:p>
            <w:pPr>
              <w:pStyle w:val="19"/>
            </w:pPr>
            <w:r>
              <w:t>根据实际调查询问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企业公示信息抽查经费绩效目标表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68" w:hRule="atLeast"/>
          <w:jc w:val="center"/>
        </w:trPr>
        <w:tc>
          <w:tcPr>
            <w:tcW w:w="644" w:type="pct"/>
            <w:vAlign w:val="center"/>
          </w:tcPr>
          <w:p>
            <w:pPr>
              <w:pStyle w:val="18"/>
            </w:pPr>
            <w:r>
              <w:t>绩效目标</w:t>
            </w:r>
          </w:p>
        </w:tc>
        <w:tc>
          <w:tcPr>
            <w:tcW w:w="4355" w:type="pct"/>
            <w:vAlign w:val="center"/>
          </w:tcPr>
          <w:p>
            <w:pPr>
              <w:pStyle w:val="19"/>
            </w:pPr>
            <w:r>
              <w:t>1.通过项目的开展，实现对市场主体公示信息抽查的目标，促进我县诚信自律，规范企业信息公示，提高政府监管效能，保障对违法失信市场主体“一处违法，处处受限”监管目标的实现。</w:t>
            </w:r>
            <w:r>
              <w:tab/>
            </w:r>
            <w:r>
              <w:tab/>
            </w:r>
            <w:r>
              <w:tab/>
            </w:r>
            <w:r>
              <w:tab/>
            </w:r>
            <w:r>
              <w:tab/>
            </w:r>
            <w:r>
              <w:tab/>
            </w:r>
            <w:r>
              <w:tab/>
            </w:r>
            <w:r>
              <w:tab/>
            </w:r>
            <w:r>
              <w:tab/>
            </w:r>
            <w:r>
              <w:tab/>
            </w:r>
          </w:p>
          <w:p>
            <w:pPr>
              <w:pStyle w:val="19"/>
            </w:pPr>
            <w:r>
              <w:t>2.通过全年及时进行不少于3批次、抽查比例不低于3%的企业公示信息审计,确保信用修复率至少为10%,成本控制在每户0.3万元以内，社会公众满意度在90%以上，提高信息公示的规范性，实现对违法失信的市场主体的联合惩戒和信用约束。</w:t>
            </w:r>
            <w:r>
              <w:tab/>
            </w:r>
            <w:r>
              <w:tab/>
            </w:r>
            <w:r>
              <w:tab/>
            </w:r>
            <w:r>
              <w:tab/>
            </w:r>
            <w:r>
              <w:tab/>
            </w:r>
            <w:r>
              <w:tab/>
            </w: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公示信息审计批次</w:t>
            </w:r>
          </w:p>
        </w:tc>
        <w:tc>
          <w:tcPr>
            <w:tcW w:w="1461" w:type="pct"/>
            <w:vAlign w:val="center"/>
          </w:tcPr>
          <w:p>
            <w:pPr>
              <w:pStyle w:val="19"/>
            </w:pPr>
            <w:r>
              <w:t>企业和农民专业合作社年报信息和即时信息审计批次</w:t>
            </w:r>
          </w:p>
        </w:tc>
        <w:tc>
          <w:tcPr>
            <w:tcW w:w="644" w:type="pct"/>
            <w:vAlign w:val="center"/>
          </w:tcPr>
          <w:p>
            <w:pPr>
              <w:pStyle w:val="19"/>
            </w:pPr>
            <w:r>
              <w:t>≥3批次</w:t>
            </w:r>
          </w:p>
        </w:tc>
        <w:tc>
          <w:tcPr>
            <w:tcW w:w="931" w:type="pct"/>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数量指标</w:t>
            </w:r>
          </w:p>
        </w:tc>
        <w:tc>
          <w:tcPr>
            <w:tcW w:w="673" w:type="pct"/>
            <w:vAlign w:val="center"/>
          </w:tcPr>
          <w:p>
            <w:pPr>
              <w:pStyle w:val="19"/>
            </w:pPr>
            <w:r>
              <w:t>抽查比例</w:t>
            </w:r>
          </w:p>
        </w:tc>
        <w:tc>
          <w:tcPr>
            <w:tcW w:w="1461" w:type="pct"/>
            <w:vAlign w:val="center"/>
          </w:tcPr>
          <w:p>
            <w:pPr>
              <w:pStyle w:val="19"/>
            </w:pPr>
            <w:r>
              <w:t>抽查企业和农民专业合作社数量占总数的比例</w:t>
            </w:r>
          </w:p>
        </w:tc>
        <w:tc>
          <w:tcPr>
            <w:tcW w:w="644" w:type="pct"/>
            <w:vAlign w:val="center"/>
          </w:tcPr>
          <w:p>
            <w:pPr>
              <w:pStyle w:val="19"/>
            </w:pPr>
            <w:r>
              <w:t>≥3%</w:t>
            </w:r>
          </w:p>
        </w:tc>
        <w:tc>
          <w:tcPr>
            <w:tcW w:w="931" w:type="pct"/>
            <w:vAlign w:val="center"/>
          </w:tcPr>
          <w:p>
            <w:pPr>
              <w:pStyle w:val="19"/>
            </w:pPr>
            <w:r>
              <w:t>《企业信息公示抽查暂行办法》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信用修复率</w:t>
            </w:r>
          </w:p>
        </w:tc>
        <w:tc>
          <w:tcPr>
            <w:tcW w:w="1461" w:type="pct"/>
            <w:vAlign w:val="center"/>
          </w:tcPr>
          <w:p>
            <w:pPr>
              <w:pStyle w:val="19"/>
            </w:pPr>
            <w:r>
              <w:t>信用信息修复的户数占列入经营异常名录户数的比率</w:t>
            </w:r>
          </w:p>
        </w:tc>
        <w:tc>
          <w:tcPr>
            <w:tcW w:w="644" w:type="pct"/>
            <w:vAlign w:val="center"/>
          </w:tcPr>
          <w:p>
            <w:pPr>
              <w:pStyle w:val="19"/>
            </w:pPr>
            <w:r>
              <w:t>≥10%</w:t>
            </w:r>
          </w:p>
        </w:tc>
        <w:tc>
          <w:tcPr>
            <w:tcW w:w="931" w:type="pct"/>
            <w:vAlign w:val="center"/>
          </w:tcPr>
          <w:p>
            <w:pPr>
              <w:pStyle w:val="19"/>
            </w:pPr>
            <w:r>
              <w:t>《企业信息公示暂行条例》、历史数据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8"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完成及时性</w:t>
            </w:r>
          </w:p>
        </w:tc>
        <w:tc>
          <w:tcPr>
            <w:tcW w:w="1461" w:type="pct"/>
            <w:vAlign w:val="center"/>
          </w:tcPr>
          <w:p>
            <w:pPr>
              <w:pStyle w:val="19"/>
            </w:pPr>
            <w:r>
              <w:t>完成年报信息和即时信息抽查审计工作时间</w:t>
            </w:r>
          </w:p>
        </w:tc>
        <w:tc>
          <w:tcPr>
            <w:tcW w:w="644" w:type="pct"/>
            <w:vAlign w:val="center"/>
          </w:tcPr>
          <w:p>
            <w:pPr>
              <w:pStyle w:val="19"/>
            </w:pPr>
            <w:r>
              <w:t>≤12月</w:t>
            </w:r>
          </w:p>
        </w:tc>
        <w:tc>
          <w:tcPr>
            <w:tcW w:w="931" w:type="pct"/>
            <w:vAlign w:val="center"/>
          </w:tcPr>
          <w:p>
            <w:pPr>
              <w:pStyle w:val="19"/>
            </w:pPr>
            <w:r>
              <w:t>工作计划和审计委托合同约定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审计成本</w:t>
            </w:r>
          </w:p>
        </w:tc>
        <w:tc>
          <w:tcPr>
            <w:tcW w:w="1461" w:type="pct"/>
            <w:vAlign w:val="center"/>
          </w:tcPr>
          <w:p>
            <w:pPr>
              <w:pStyle w:val="19"/>
            </w:pPr>
            <w:r>
              <w:t>公示信息每户审计成本</w:t>
            </w:r>
          </w:p>
        </w:tc>
        <w:tc>
          <w:tcPr>
            <w:tcW w:w="644" w:type="pct"/>
            <w:vAlign w:val="center"/>
          </w:tcPr>
          <w:p>
            <w:pPr>
              <w:pStyle w:val="19"/>
            </w:pPr>
            <w:r>
              <w:t>≤0.3万元</w:t>
            </w:r>
          </w:p>
        </w:tc>
        <w:tc>
          <w:tcPr>
            <w:tcW w:w="931" w:type="pct"/>
            <w:vAlign w:val="center"/>
          </w:tcPr>
          <w:p>
            <w:pPr>
              <w:pStyle w:val="19"/>
            </w:pPr>
            <w:r>
              <w:t>历史数据、询价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提高信息公示规范性</w:t>
            </w:r>
          </w:p>
        </w:tc>
        <w:tc>
          <w:tcPr>
            <w:tcW w:w="1461" w:type="pct"/>
            <w:vAlign w:val="center"/>
          </w:tcPr>
          <w:p>
            <w:pPr>
              <w:pStyle w:val="19"/>
            </w:pPr>
            <w:r>
              <w:t>考核公示信息抽查工作对于企业公示信息规范公开的促进作用</w:t>
            </w:r>
          </w:p>
        </w:tc>
        <w:tc>
          <w:tcPr>
            <w:tcW w:w="644" w:type="pct"/>
            <w:vAlign w:val="center"/>
          </w:tcPr>
          <w:p>
            <w:pPr>
              <w:pStyle w:val="19"/>
            </w:pPr>
            <w:r>
              <w:t>提高</w:t>
            </w:r>
          </w:p>
        </w:tc>
        <w:tc>
          <w:tcPr>
            <w:tcW w:w="931" w:type="pct"/>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考核项目单位相关管理机制的建立健全情况</w:t>
            </w:r>
          </w:p>
        </w:tc>
        <w:tc>
          <w:tcPr>
            <w:tcW w:w="644" w:type="pct"/>
            <w:vAlign w:val="center"/>
          </w:tcPr>
          <w:p>
            <w:pPr>
              <w:pStyle w:val="19"/>
            </w:pPr>
            <w:r>
              <w:t>健全</w:t>
            </w:r>
          </w:p>
        </w:tc>
        <w:tc>
          <w:tcPr>
            <w:tcW w:w="931" w:type="pct"/>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社会公众满意度</w:t>
            </w:r>
          </w:p>
        </w:tc>
        <w:tc>
          <w:tcPr>
            <w:tcW w:w="1461" w:type="pct"/>
            <w:vAlign w:val="center"/>
          </w:tcPr>
          <w:p>
            <w:pPr>
              <w:pStyle w:val="19"/>
            </w:pPr>
            <w:r>
              <w:t>社会公众对工作开展的满意程度</w:t>
            </w:r>
          </w:p>
        </w:tc>
        <w:tc>
          <w:tcPr>
            <w:tcW w:w="644" w:type="pct"/>
            <w:vAlign w:val="center"/>
          </w:tcPr>
          <w:p>
            <w:pPr>
              <w:pStyle w:val="19"/>
            </w:pPr>
            <w:r>
              <w:t>≥90%</w:t>
            </w:r>
          </w:p>
        </w:tc>
        <w:tc>
          <w:tcPr>
            <w:tcW w:w="931" w:type="pct"/>
            <w:vAlign w:val="center"/>
          </w:tcPr>
          <w:p>
            <w:pPr>
              <w:pStyle w:val="19"/>
            </w:pPr>
            <w:r>
              <w:t>调查问卷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伤残军人张金福医药费资金绩效目标表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1" w:hRule="atLeast"/>
          <w:jc w:val="center"/>
        </w:trPr>
        <w:tc>
          <w:tcPr>
            <w:tcW w:w="644" w:type="pct"/>
            <w:vAlign w:val="center"/>
          </w:tcPr>
          <w:p>
            <w:pPr>
              <w:pStyle w:val="18"/>
            </w:pPr>
            <w:r>
              <w:t>绩效目标</w:t>
            </w:r>
          </w:p>
        </w:tc>
        <w:tc>
          <w:tcPr>
            <w:tcW w:w="4355" w:type="pct"/>
            <w:vAlign w:val="center"/>
          </w:tcPr>
          <w:p>
            <w:pPr>
              <w:pStyle w:val="19"/>
            </w:pPr>
            <w:r>
              <w:t>1.通过项目的开展，贯彻落实上级文件精神，落实归属我局伤残军人医疗补助，减轻伤残军人经济负担。</w:t>
            </w:r>
          </w:p>
          <w:p>
            <w:pPr>
              <w:pStyle w:val="19"/>
            </w:pPr>
            <w:r>
              <w:t>2.通过项目的开展，及时足额报销伤残军人张金福个人承担部分医药费用，减轻伤残军人经济负担，提高归属我局管理的伤残军人医疗补助满意度。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伤残军人医疗补助人数</w:t>
            </w:r>
          </w:p>
        </w:tc>
        <w:tc>
          <w:tcPr>
            <w:tcW w:w="1461" w:type="pct"/>
            <w:vAlign w:val="center"/>
          </w:tcPr>
          <w:p>
            <w:pPr>
              <w:pStyle w:val="19"/>
            </w:pPr>
            <w:r>
              <w:t>发放伤残军人医疗补助人数</w:t>
            </w:r>
          </w:p>
        </w:tc>
        <w:tc>
          <w:tcPr>
            <w:tcW w:w="644" w:type="pct"/>
            <w:vAlign w:val="center"/>
          </w:tcPr>
          <w:p>
            <w:pPr>
              <w:pStyle w:val="19"/>
            </w:pPr>
            <w:r>
              <w:t>1人</w:t>
            </w:r>
          </w:p>
        </w:tc>
        <w:tc>
          <w:tcPr>
            <w:tcW w:w="931" w:type="pct"/>
            <w:vAlign w:val="center"/>
          </w:tcPr>
          <w:p>
            <w:pPr>
              <w:pStyle w:val="19"/>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补助资金发放准确率</w:t>
            </w:r>
          </w:p>
        </w:tc>
        <w:tc>
          <w:tcPr>
            <w:tcW w:w="1461" w:type="pct"/>
            <w:vAlign w:val="center"/>
          </w:tcPr>
          <w:p>
            <w:pPr>
              <w:pStyle w:val="19"/>
            </w:pPr>
            <w:r>
              <w:t>考核发放补贴金额是否准确、补助对象是否符合条件</w:t>
            </w:r>
          </w:p>
        </w:tc>
        <w:tc>
          <w:tcPr>
            <w:tcW w:w="644" w:type="pct"/>
            <w:vAlign w:val="center"/>
          </w:tcPr>
          <w:p>
            <w:pPr>
              <w:pStyle w:val="19"/>
            </w:pPr>
            <w:r>
              <w:t>100%</w:t>
            </w:r>
          </w:p>
        </w:tc>
        <w:tc>
          <w:tcPr>
            <w:tcW w:w="931" w:type="pct"/>
            <w:vAlign w:val="center"/>
          </w:tcPr>
          <w:p>
            <w:pPr>
              <w:pStyle w:val="19"/>
            </w:pPr>
            <w:r>
              <w:t>《香河县一至六级伤残军人医疗保障实施办法》、财务资料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补助及时性</w:t>
            </w:r>
          </w:p>
        </w:tc>
        <w:tc>
          <w:tcPr>
            <w:tcW w:w="1461" w:type="pct"/>
            <w:vAlign w:val="center"/>
          </w:tcPr>
          <w:p>
            <w:pPr>
              <w:pStyle w:val="19"/>
            </w:pPr>
            <w:r>
              <w:t>考核是否按计划及时报销张金福当年度个人承担部分医疗费</w:t>
            </w:r>
          </w:p>
        </w:tc>
        <w:tc>
          <w:tcPr>
            <w:tcW w:w="644" w:type="pct"/>
            <w:vAlign w:val="center"/>
          </w:tcPr>
          <w:p>
            <w:pPr>
              <w:pStyle w:val="19"/>
            </w:pPr>
            <w:r>
              <w:t>≤12月</w:t>
            </w:r>
          </w:p>
        </w:tc>
        <w:tc>
          <w:tcPr>
            <w:tcW w:w="931" w:type="pct"/>
            <w:vAlign w:val="center"/>
          </w:tcPr>
          <w:p>
            <w:pPr>
              <w:pStyle w:val="19"/>
            </w:pPr>
            <w:r>
              <w:t>《香河县一至六级伤残军人医疗保障实施办法》、财务资料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成本控制有效性</w:t>
            </w:r>
          </w:p>
        </w:tc>
        <w:tc>
          <w:tcPr>
            <w:tcW w:w="1461" w:type="pct"/>
            <w:vAlign w:val="center"/>
          </w:tcPr>
          <w:p>
            <w:pPr>
              <w:pStyle w:val="19"/>
            </w:pPr>
            <w:r>
              <w:t>考核单次报销金额是否不超每次提供报销单据应报销金额</w:t>
            </w:r>
          </w:p>
          <w:p>
            <w:pPr>
              <w:pStyle w:val="19"/>
            </w:pPr>
          </w:p>
        </w:tc>
        <w:tc>
          <w:tcPr>
            <w:tcW w:w="644" w:type="pct"/>
            <w:vAlign w:val="center"/>
          </w:tcPr>
          <w:p>
            <w:pPr>
              <w:pStyle w:val="19"/>
            </w:pPr>
            <w:r>
              <w:t>有效</w:t>
            </w:r>
          </w:p>
        </w:tc>
        <w:tc>
          <w:tcPr>
            <w:tcW w:w="931" w:type="pct"/>
            <w:vAlign w:val="center"/>
          </w:tcPr>
          <w:p>
            <w:pPr>
              <w:pStyle w:val="19"/>
            </w:pPr>
            <w:r>
              <w:t>报销明细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应补尽补率</w:t>
            </w:r>
          </w:p>
        </w:tc>
        <w:tc>
          <w:tcPr>
            <w:tcW w:w="1461" w:type="pct"/>
            <w:vAlign w:val="center"/>
          </w:tcPr>
          <w:p>
            <w:pPr>
              <w:pStyle w:val="19"/>
            </w:pPr>
            <w:r>
              <w:t>实际得到医疗补助的人数占我局按政策应得到医疗补助人数的比率</w:t>
            </w:r>
          </w:p>
        </w:tc>
        <w:tc>
          <w:tcPr>
            <w:tcW w:w="644" w:type="pct"/>
            <w:vAlign w:val="center"/>
          </w:tcPr>
          <w:p>
            <w:pPr>
              <w:pStyle w:val="19"/>
            </w:pPr>
            <w:r>
              <w:t>100%</w:t>
            </w:r>
          </w:p>
          <w:p>
            <w:pPr>
              <w:pStyle w:val="19"/>
            </w:pPr>
          </w:p>
        </w:tc>
        <w:tc>
          <w:tcPr>
            <w:tcW w:w="931" w:type="pct"/>
            <w:vAlign w:val="center"/>
          </w:tcPr>
          <w:p>
            <w:pPr>
              <w:pStyle w:val="19"/>
            </w:pPr>
            <w:r>
              <w:t xml:space="preserve">伤残证、财务资料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44" w:type="pct"/>
            <w:vMerge w:val="continue"/>
            <w:vAlign w:val="center"/>
          </w:tcPr>
          <w:p/>
        </w:tc>
        <w:tc>
          <w:tcPr>
            <w:tcW w:w="644" w:type="pct"/>
            <w:vAlign w:val="center"/>
          </w:tcPr>
          <w:p>
            <w:pPr>
              <w:pStyle w:val="19"/>
            </w:pPr>
            <w:r>
              <w:t>经济效益指标</w:t>
            </w:r>
          </w:p>
        </w:tc>
        <w:tc>
          <w:tcPr>
            <w:tcW w:w="673" w:type="pct"/>
            <w:vAlign w:val="center"/>
          </w:tcPr>
          <w:p>
            <w:pPr>
              <w:pStyle w:val="19"/>
            </w:pPr>
            <w:r>
              <w:t>减轻伤残军人经济负担</w:t>
            </w:r>
          </w:p>
        </w:tc>
        <w:tc>
          <w:tcPr>
            <w:tcW w:w="1461" w:type="pct"/>
            <w:vAlign w:val="center"/>
          </w:tcPr>
          <w:p>
            <w:pPr>
              <w:pStyle w:val="19"/>
            </w:pPr>
            <w:r>
              <w:t>考核该补贴对伤残军人经济负担的减轻情况</w:t>
            </w:r>
          </w:p>
        </w:tc>
        <w:tc>
          <w:tcPr>
            <w:tcW w:w="644" w:type="pct"/>
            <w:vAlign w:val="center"/>
          </w:tcPr>
          <w:p>
            <w:pPr>
              <w:pStyle w:val="19"/>
            </w:pPr>
            <w:r>
              <w:t>减轻</w:t>
            </w:r>
          </w:p>
        </w:tc>
        <w:tc>
          <w:tcPr>
            <w:tcW w:w="931" w:type="pct"/>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持续时长</w:t>
            </w:r>
          </w:p>
        </w:tc>
        <w:tc>
          <w:tcPr>
            <w:tcW w:w="1461" w:type="pct"/>
            <w:vAlign w:val="center"/>
          </w:tcPr>
          <w:p>
            <w:pPr>
              <w:pStyle w:val="19"/>
            </w:pPr>
            <w:r>
              <w:t>项目持续发挥作用年限</w:t>
            </w:r>
          </w:p>
        </w:tc>
        <w:tc>
          <w:tcPr>
            <w:tcW w:w="644" w:type="pct"/>
            <w:vAlign w:val="center"/>
          </w:tcPr>
          <w:p>
            <w:pPr>
              <w:pStyle w:val="19"/>
            </w:pPr>
            <w:r>
              <w:t>1年</w:t>
            </w:r>
          </w:p>
        </w:tc>
        <w:tc>
          <w:tcPr>
            <w:tcW w:w="931" w:type="pct"/>
            <w:vAlign w:val="center"/>
          </w:tcPr>
          <w:p>
            <w:pPr>
              <w:pStyle w:val="19"/>
            </w:pPr>
            <w:r>
              <w:t>《香河县一至六级伤残军人医疗保障实施办法》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服务对象满意度</w:t>
            </w:r>
          </w:p>
        </w:tc>
        <w:tc>
          <w:tcPr>
            <w:tcW w:w="1461" w:type="pct"/>
            <w:vAlign w:val="center"/>
          </w:tcPr>
          <w:p>
            <w:pPr>
              <w:pStyle w:val="19"/>
            </w:pPr>
            <w:r>
              <w:t>报销对象对报销医药费工作的综合满意度</w:t>
            </w:r>
          </w:p>
        </w:tc>
        <w:tc>
          <w:tcPr>
            <w:tcW w:w="644" w:type="pct"/>
            <w:vAlign w:val="center"/>
          </w:tcPr>
          <w:p>
            <w:pPr>
              <w:pStyle w:val="19"/>
            </w:pPr>
            <w:r>
              <w:t>≥90%</w:t>
            </w:r>
          </w:p>
        </w:tc>
        <w:tc>
          <w:tcPr>
            <w:tcW w:w="931" w:type="pct"/>
            <w:vAlign w:val="center"/>
          </w:tcPr>
          <w:p>
            <w:pPr>
              <w:pStyle w:val="19"/>
            </w:pPr>
            <w:r>
              <w:t>访谈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商标专利补助资金绩效目标表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绩效目标</w:t>
            </w:r>
          </w:p>
        </w:tc>
        <w:tc>
          <w:tcPr>
            <w:tcW w:w="4355" w:type="pct"/>
            <w:vAlign w:val="center"/>
          </w:tcPr>
          <w:p>
            <w:pPr>
              <w:pStyle w:val="19"/>
            </w:pPr>
            <w:r>
              <w:t>1.目标内容1鼓励和支持企事业单位和个人开展知识产权创造、运用、保护和服务等工作，提升我县知识产权创造、运用、保护、管理与综合服务水平。鼓励知识产权创造，支持企业拥有自主知识产权；鼓励知识产权运用，支持企业实现知识产权价值；鼓励知识产权规范管理，提升企业核心竞争力；发展知识产权服务业，鼓励知识产权机构深化服务；加大知识产权保护力度，优化知识产权保护环境；加强知识产权宣传培训，营造知识产权保护氛围。</w:t>
            </w:r>
          </w:p>
          <w:p>
            <w:pPr>
              <w:pStyle w:val="19"/>
            </w:pPr>
            <w:r>
              <w:t>2.目标内容2通过对至少18件授权发明专利、5家知识产权贯标企业、3家投保专利保险企业、1家知识产权质押贷款企业进行及时、准确的补助，提高知识产权发明创造、运用、管理、服务积极性，促进我县自主创新水平进一步提升，实现万人拥有发明专利2.23件以上和知识产权质押贷款有更大的突破，使补助对象满意度达90%以上。</w:t>
            </w: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授权发明专利补贴数量</w:t>
            </w:r>
          </w:p>
        </w:tc>
        <w:tc>
          <w:tcPr>
            <w:tcW w:w="1461" w:type="pct"/>
            <w:vAlign w:val="center"/>
          </w:tcPr>
          <w:p>
            <w:pPr>
              <w:pStyle w:val="19"/>
            </w:pPr>
            <w:r>
              <w:t>本年度补贴授权发明专利数量</w:t>
            </w:r>
          </w:p>
        </w:tc>
        <w:tc>
          <w:tcPr>
            <w:tcW w:w="644" w:type="pct"/>
            <w:vAlign w:val="center"/>
          </w:tcPr>
          <w:p>
            <w:pPr>
              <w:pStyle w:val="19"/>
            </w:pPr>
            <w:r>
              <w:t>≥18件</w:t>
            </w:r>
          </w:p>
        </w:tc>
        <w:tc>
          <w:tcPr>
            <w:tcW w:w="931" w:type="pct"/>
            <w:vAlign w:val="center"/>
          </w:tcPr>
          <w:p>
            <w:pPr>
              <w:pStyle w:val="19"/>
            </w:pPr>
            <w:r>
              <w:t>廊坊市各县市区2022年1-12月专利情况表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数量指标</w:t>
            </w:r>
          </w:p>
        </w:tc>
        <w:tc>
          <w:tcPr>
            <w:tcW w:w="673" w:type="pct"/>
            <w:vAlign w:val="center"/>
          </w:tcPr>
          <w:p>
            <w:pPr>
              <w:pStyle w:val="19"/>
            </w:pPr>
            <w:r>
              <w:t>知识产权贯标企业补贴数量</w:t>
            </w:r>
          </w:p>
        </w:tc>
        <w:tc>
          <w:tcPr>
            <w:tcW w:w="1461" w:type="pct"/>
            <w:vAlign w:val="center"/>
          </w:tcPr>
          <w:p>
            <w:pPr>
              <w:pStyle w:val="19"/>
            </w:pPr>
            <w:r>
              <w:t>本年度补贴知识产权贯标企业数量</w:t>
            </w:r>
          </w:p>
        </w:tc>
        <w:tc>
          <w:tcPr>
            <w:tcW w:w="644" w:type="pct"/>
            <w:vAlign w:val="center"/>
          </w:tcPr>
          <w:p>
            <w:pPr>
              <w:pStyle w:val="19"/>
            </w:pPr>
            <w:r>
              <w:t>≥5家</w:t>
            </w:r>
          </w:p>
        </w:tc>
        <w:tc>
          <w:tcPr>
            <w:tcW w:w="931" w:type="pct"/>
            <w:vAlign w:val="center"/>
          </w:tcPr>
          <w:p>
            <w:pPr>
              <w:pStyle w:val="19"/>
            </w:pPr>
            <w:r>
              <w:t>知识产权管理体系认证证书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补助资金发放准确率</w:t>
            </w:r>
          </w:p>
        </w:tc>
        <w:tc>
          <w:tcPr>
            <w:tcW w:w="1461" w:type="pct"/>
            <w:vAlign w:val="center"/>
          </w:tcPr>
          <w:p>
            <w:pPr>
              <w:pStyle w:val="19"/>
            </w:pPr>
            <w:r>
              <w:t>考核发放补贴金额是否准确、补助对象是否符合条件</w:t>
            </w:r>
          </w:p>
        </w:tc>
        <w:tc>
          <w:tcPr>
            <w:tcW w:w="644" w:type="pct"/>
            <w:vAlign w:val="center"/>
          </w:tcPr>
          <w:p>
            <w:pPr>
              <w:pStyle w:val="19"/>
            </w:pPr>
            <w:r>
              <w:t>100%</w:t>
            </w:r>
          </w:p>
        </w:tc>
        <w:tc>
          <w:tcPr>
            <w:tcW w:w="931" w:type="pct"/>
            <w:vAlign w:val="center"/>
          </w:tcPr>
          <w:p>
            <w:pPr>
              <w:pStyle w:val="19"/>
            </w:pPr>
            <w:r>
              <w:t>年度工作计划、财务资料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补贴发放及时性</w:t>
            </w:r>
          </w:p>
        </w:tc>
        <w:tc>
          <w:tcPr>
            <w:tcW w:w="1461" w:type="pct"/>
            <w:vAlign w:val="center"/>
          </w:tcPr>
          <w:p>
            <w:pPr>
              <w:pStyle w:val="19"/>
            </w:pPr>
            <w:r>
              <w:t>考核是否按计划时间发放补贴资金</w:t>
            </w:r>
          </w:p>
        </w:tc>
        <w:tc>
          <w:tcPr>
            <w:tcW w:w="644" w:type="pct"/>
            <w:vAlign w:val="center"/>
          </w:tcPr>
          <w:p>
            <w:pPr>
              <w:pStyle w:val="19"/>
            </w:pPr>
            <w:r>
              <w:t>≤12月</w:t>
            </w:r>
          </w:p>
        </w:tc>
        <w:tc>
          <w:tcPr>
            <w:tcW w:w="931" w:type="pct"/>
            <w:vAlign w:val="center"/>
          </w:tcPr>
          <w:p>
            <w:pPr>
              <w:pStyle w:val="19"/>
            </w:pPr>
            <w:r>
              <w:t>根据年度工作计划年度工作计划、财务资料</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补贴标准控制有效性</w:t>
            </w:r>
          </w:p>
        </w:tc>
        <w:tc>
          <w:tcPr>
            <w:tcW w:w="1461" w:type="pct"/>
            <w:vAlign w:val="center"/>
          </w:tcPr>
          <w:p>
            <w:pPr>
              <w:pStyle w:val="19"/>
            </w:pPr>
            <w:r>
              <w:t>考核补贴标准是否符合文件规定</w:t>
            </w:r>
          </w:p>
        </w:tc>
        <w:tc>
          <w:tcPr>
            <w:tcW w:w="644" w:type="pct"/>
            <w:vAlign w:val="center"/>
          </w:tcPr>
          <w:p>
            <w:pPr>
              <w:pStyle w:val="19"/>
            </w:pPr>
            <w:r>
              <w:t>有效</w:t>
            </w:r>
          </w:p>
        </w:tc>
        <w:tc>
          <w:tcPr>
            <w:tcW w:w="931" w:type="pct"/>
            <w:vAlign w:val="center"/>
          </w:tcPr>
          <w:p>
            <w:pPr>
              <w:pStyle w:val="19"/>
            </w:pPr>
            <w:r>
              <w:t>廊知战发〔2022〕1号廊坊市知识产权战略实施工作领导小组关于印发《北三县知识产权促进办法》的通知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万人发明专利拥有量</w:t>
            </w:r>
          </w:p>
        </w:tc>
        <w:tc>
          <w:tcPr>
            <w:tcW w:w="1461" w:type="pct"/>
            <w:vAlign w:val="center"/>
          </w:tcPr>
          <w:p>
            <w:pPr>
              <w:pStyle w:val="19"/>
            </w:pPr>
            <w:r>
              <w:t>每万人拥有发明专利量</w:t>
            </w:r>
          </w:p>
        </w:tc>
        <w:tc>
          <w:tcPr>
            <w:tcW w:w="644" w:type="pct"/>
            <w:vAlign w:val="center"/>
          </w:tcPr>
          <w:p>
            <w:pPr>
              <w:pStyle w:val="19"/>
            </w:pPr>
            <w:r>
              <w:t>≥2.23件</w:t>
            </w:r>
          </w:p>
        </w:tc>
        <w:tc>
          <w:tcPr>
            <w:tcW w:w="931" w:type="pct"/>
            <w:vAlign w:val="center"/>
          </w:tcPr>
          <w:p>
            <w:pPr>
              <w:pStyle w:val="19"/>
            </w:pPr>
            <w:r>
              <w:t>市委组织部对我县考核工作评价细则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考核项目单位相关管理机制的建立健全情况</w:t>
            </w:r>
          </w:p>
        </w:tc>
        <w:tc>
          <w:tcPr>
            <w:tcW w:w="644" w:type="pct"/>
            <w:vAlign w:val="center"/>
          </w:tcPr>
          <w:p>
            <w:pPr>
              <w:pStyle w:val="19"/>
            </w:pPr>
            <w:r>
              <w:t>健全</w:t>
            </w:r>
          </w:p>
        </w:tc>
        <w:tc>
          <w:tcPr>
            <w:tcW w:w="931" w:type="pct"/>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补助对象满意度</w:t>
            </w:r>
          </w:p>
        </w:tc>
        <w:tc>
          <w:tcPr>
            <w:tcW w:w="1461" w:type="pct"/>
            <w:vAlign w:val="center"/>
          </w:tcPr>
          <w:p>
            <w:pPr>
              <w:pStyle w:val="19"/>
            </w:pPr>
            <w:r>
              <w:t>补助对象对该项工作的满意程度</w:t>
            </w:r>
          </w:p>
        </w:tc>
        <w:tc>
          <w:tcPr>
            <w:tcW w:w="644" w:type="pct"/>
            <w:vAlign w:val="center"/>
          </w:tcPr>
          <w:p>
            <w:pPr>
              <w:pStyle w:val="19"/>
            </w:pPr>
            <w:r>
              <w:t>≥90%</w:t>
            </w:r>
          </w:p>
        </w:tc>
        <w:tc>
          <w:tcPr>
            <w:tcW w:w="931" w:type="pct"/>
            <w:vAlign w:val="center"/>
          </w:tcPr>
          <w:p>
            <w:pPr>
              <w:pStyle w:val="19"/>
            </w:pPr>
            <w:r>
              <w:t>调查问卷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涉企收费补助资金绩效目标表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绩效目标</w:t>
            </w:r>
          </w:p>
        </w:tc>
        <w:tc>
          <w:tcPr>
            <w:tcW w:w="4355" w:type="pct"/>
            <w:vAlign w:val="center"/>
          </w:tcPr>
          <w:p>
            <w:pPr>
              <w:pStyle w:val="19"/>
            </w:pPr>
            <w:r>
              <w:t>1.目标内容1：通过项目的开展，保障人员稳定，正常履行部门职能，维护市场秩序，服务地方经济。</w:t>
            </w:r>
            <w:r>
              <w:tab/>
            </w:r>
            <w:r>
              <w:tab/>
            </w:r>
            <w:r>
              <w:tab/>
            </w:r>
            <w:r>
              <w:tab/>
            </w:r>
            <w:r>
              <w:tab/>
            </w:r>
            <w:r>
              <w:tab/>
            </w:r>
          </w:p>
          <w:p>
            <w:pPr>
              <w:pStyle w:val="19"/>
            </w:pPr>
          </w:p>
          <w:p>
            <w:pPr>
              <w:pStyle w:val="19"/>
            </w:pPr>
            <w:r>
              <w:t>2.目标内容2：通过项目的开展，及时、足额、准确的发放人员工资、按时缴纳各类保险，保证机关正常运转，健全长效管理机制，使人员经费支出得到保障，工作人员满意度达到90%以上。</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保障人数</w:t>
            </w:r>
          </w:p>
        </w:tc>
        <w:tc>
          <w:tcPr>
            <w:tcW w:w="1461" w:type="pct"/>
            <w:vAlign w:val="center"/>
          </w:tcPr>
          <w:p>
            <w:pPr>
              <w:pStyle w:val="19"/>
            </w:pPr>
            <w:r>
              <w:t>发放工资及缴纳保险人数</w:t>
            </w:r>
          </w:p>
        </w:tc>
        <w:tc>
          <w:tcPr>
            <w:tcW w:w="644" w:type="pct"/>
            <w:vAlign w:val="center"/>
          </w:tcPr>
          <w:p>
            <w:pPr>
              <w:pStyle w:val="19"/>
            </w:pPr>
            <w:r>
              <w:t>≤31人</w:t>
            </w:r>
          </w:p>
        </w:tc>
        <w:tc>
          <w:tcPr>
            <w:tcW w:w="931" w:type="pct"/>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8"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发放准确率</w:t>
            </w:r>
          </w:p>
        </w:tc>
        <w:tc>
          <w:tcPr>
            <w:tcW w:w="1461" w:type="pct"/>
            <w:vAlign w:val="center"/>
          </w:tcPr>
          <w:p>
            <w:pPr>
              <w:pStyle w:val="19"/>
            </w:pPr>
            <w:r>
              <w:t>准确发放工资及缴纳保险的人数占应发放工资及缴纳保险人数的比率</w:t>
            </w:r>
          </w:p>
        </w:tc>
        <w:tc>
          <w:tcPr>
            <w:tcW w:w="644" w:type="pct"/>
            <w:vAlign w:val="center"/>
          </w:tcPr>
          <w:p>
            <w:pPr>
              <w:pStyle w:val="19"/>
            </w:pPr>
            <w:r>
              <w:t>100%</w:t>
            </w:r>
          </w:p>
        </w:tc>
        <w:tc>
          <w:tcPr>
            <w:tcW w:w="931" w:type="pct"/>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51"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发放及时率</w:t>
            </w:r>
          </w:p>
        </w:tc>
        <w:tc>
          <w:tcPr>
            <w:tcW w:w="1461" w:type="pct"/>
            <w:vAlign w:val="center"/>
          </w:tcPr>
          <w:p>
            <w:pPr>
              <w:pStyle w:val="19"/>
            </w:pPr>
            <w:r>
              <w:t>及时发放工资及缴纳保险的人数占应发放工资级缴纳保险人数的比率</w:t>
            </w:r>
          </w:p>
        </w:tc>
        <w:tc>
          <w:tcPr>
            <w:tcW w:w="644" w:type="pct"/>
            <w:vAlign w:val="center"/>
          </w:tcPr>
          <w:p>
            <w:pPr>
              <w:pStyle w:val="19"/>
            </w:pPr>
            <w:r>
              <w:t>100%</w:t>
            </w:r>
          </w:p>
        </w:tc>
        <w:tc>
          <w:tcPr>
            <w:tcW w:w="931" w:type="pct"/>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人均成本</w:t>
            </w:r>
          </w:p>
        </w:tc>
        <w:tc>
          <w:tcPr>
            <w:tcW w:w="1461" w:type="pct"/>
            <w:vAlign w:val="center"/>
          </w:tcPr>
          <w:p>
            <w:pPr>
              <w:pStyle w:val="19"/>
            </w:pPr>
            <w:r>
              <w:t>每月发放工资及缴纳保险费的人均成本</w:t>
            </w:r>
          </w:p>
        </w:tc>
        <w:tc>
          <w:tcPr>
            <w:tcW w:w="644" w:type="pct"/>
            <w:vAlign w:val="center"/>
          </w:tcPr>
          <w:p>
            <w:pPr>
              <w:pStyle w:val="19"/>
            </w:pPr>
            <w:r>
              <w:t>≤0.7万元</w:t>
            </w:r>
          </w:p>
        </w:tc>
        <w:tc>
          <w:tcPr>
            <w:tcW w:w="931" w:type="pct"/>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1"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机关正常运转天数</w:t>
            </w:r>
          </w:p>
        </w:tc>
        <w:tc>
          <w:tcPr>
            <w:tcW w:w="1461" w:type="pct"/>
            <w:vAlign w:val="center"/>
          </w:tcPr>
          <w:p>
            <w:pPr>
              <w:pStyle w:val="19"/>
            </w:pPr>
            <w:r>
              <w:t>保障机关单位日常业务正常开展的情况</w:t>
            </w:r>
          </w:p>
        </w:tc>
        <w:tc>
          <w:tcPr>
            <w:tcW w:w="644" w:type="pct"/>
            <w:vAlign w:val="center"/>
          </w:tcPr>
          <w:p>
            <w:pPr>
              <w:pStyle w:val="19"/>
            </w:pPr>
            <w:r>
              <w:t>365天</w:t>
            </w:r>
          </w:p>
        </w:tc>
        <w:tc>
          <w:tcPr>
            <w:tcW w:w="931" w:type="pct"/>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考核项目单位相关管理机制建立健全情况</w:t>
            </w:r>
          </w:p>
        </w:tc>
        <w:tc>
          <w:tcPr>
            <w:tcW w:w="644" w:type="pct"/>
            <w:vAlign w:val="center"/>
          </w:tcPr>
          <w:p>
            <w:pPr>
              <w:pStyle w:val="19"/>
            </w:pPr>
            <w:r>
              <w:t>健全</w:t>
            </w:r>
          </w:p>
        </w:tc>
        <w:tc>
          <w:tcPr>
            <w:tcW w:w="931" w:type="pct"/>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工作人员满意度</w:t>
            </w:r>
          </w:p>
        </w:tc>
        <w:tc>
          <w:tcPr>
            <w:tcW w:w="1461" w:type="pct"/>
            <w:vAlign w:val="center"/>
          </w:tcPr>
          <w:p>
            <w:pPr>
              <w:pStyle w:val="19"/>
            </w:pPr>
            <w:r>
              <w:t>相关人员对项目开展的满意程度</w:t>
            </w:r>
          </w:p>
        </w:tc>
        <w:tc>
          <w:tcPr>
            <w:tcW w:w="644" w:type="pct"/>
            <w:vAlign w:val="center"/>
          </w:tcPr>
          <w:p>
            <w:pPr>
              <w:pStyle w:val="19"/>
            </w:pPr>
            <w:r>
              <w:t>≥90%</w:t>
            </w:r>
          </w:p>
        </w:tc>
        <w:tc>
          <w:tcPr>
            <w:tcW w:w="931" w:type="pct"/>
            <w:vAlign w:val="center"/>
          </w:tcPr>
          <w:p>
            <w:pPr>
              <w:pStyle w:val="19"/>
            </w:pPr>
            <w:r>
              <w:t>调查问卷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食品安全监管经费绩效目标表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1" w:hRule="atLeast"/>
          <w:jc w:val="center"/>
        </w:trPr>
        <w:tc>
          <w:tcPr>
            <w:tcW w:w="644" w:type="pct"/>
            <w:vAlign w:val="center"/>
          </w:tcPr>
          <w:p>
            <w:pPr>
              <w:pStyle w:val="18"/>
            </w:pPr>
            <w:r>
              <w:t>绩效目标</w:t>
            </w:r>
          </w:p>
        </w:tc>
        <w:tc>
          <w:tcPr>
            <w:tcW w:w="4355" w:type="pct"/>
            <w:vAlign w:val="center"/>
          </w:tcPr>
          <w:p>
            <w:pPr>
              <w:pStyle w:val="19"/>
              <w:numPr>
                <w:ilvl w:val="0"/>
                <w:numId w:val="2"/>
              </w:numPr>
            </w:pPr>
            <w:r>
              <w:t>通过项目的开展，确保我县食品质量安全，打击市场三无假劣食品，保障人民群众合法权益不受侵害。</w:t>
            </w:r>
            <w:r>
              <w:tab/>
            </w:r>
            <w:r>
              <w:tab/>
            </w:r>
            <w:r>
              <w:tab/>
            </w:r>
            <w:r>
              <w:tab/>
            </w:r>
          </w:p>
          <w:p>
            <w:pPr>
              <w:pStyle w:val="19"/>
              <w:numPr>
                <w:ilvl w:val="0"/>
                <w:numId w:val="2"/>
              </w:numPr>
            </w:pPr>
            <w:r>
              <w:t>通过及时开展不少于5批次食品专项抽检工作和不少于1320批次食品快检工作，使不合格报告核查处置率达到100%，全年无重大食品安全事故发生，群众满意度达90%以上。</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食品专项抽检次数</w:t>
            </w:r>
          </w:p>
        </w:tc>
        <w:tc>
          <w:tcPr>
            <w:tcW w:w="1461" w:type="pct"/>
            <w:vAlign w:val="center"/>
          </w:tcPr>
          <w:p>
            <w:pPr>
              <w:pStyle w:val="19"/>
            </w:pPr>
            <w:r>
              <w:t>重大节日或特殊期间对食品进行的专项抽检次数</w:t>
            </w:r>
          </w:p>
        </w:tc>
        <w:tc>
          <w:tcPr>
            <w:tcW w:w="644" w:type="pct"/>
            <w:vAlign w:val="center"/>
          </w:tcPr>
          <w:p>
            <w:pPr>
              <w:pStyle w:val="19"/>
            </w:pPr>
            <w:r>
              <w:t>≥5次</w:t>
            </w:r>
          </w:p>
        </w:tc>
        <w:tc>
          <w:tcPr>
            <w:tcW w:w="931" w:type="pct"/>
            <w:vAlign w:val="center"/>
          </w:tcPr>
          <w:p>
            <w:pPr>
              <w:pStyle w:val="19"/>
            </w:pPr>
            <w:r>
              <w:t>抽检计划、台账、检测报告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644" w:type="pct"/>
            <w:vMerge w:val="continue"/>
            <w:vAlign w:val="center"/>
          </w:tcPr>
          <w:p/>
        </w:tc>
        <w:tc>
          <w:tcPr>
            <w:tcW w:w="644" w:type="pct"/>
            <w:vAlign w:val="center"/>
          </w:tcPr>
          <w:p>
            <w:pPr>
              <w:pStyle w:val="19"/>
            </w:pPr>
            <w:r>
              <w:t>数量指标</w:t>
            </w:r>
          </w:p>
        </w:tc>
        <w:tc>
          <w:tcPr>
            <w:tcW w:w="673" w:type="pct"/>
            <w:vAlign w:val="center"/>
          </w:tcPr>
          <w:p>
            <w:pPr>
              <w:pStyle w:val="19"/>
            </w:pPr>
            <w:r>
              <w:t>食品快检批次数</w:t>
            </w:r>
          </w:p>
        </w:tc>
        <w:tc>
          <w:tcPr>
            <w:tcW w:w="1461" w:type="pct"/>
            <w:vAlign w:val="center"/>
          </w:tcPr>
          <w:p>
            <w:pPr>
              <w:pStyle w:val="19"/>
            </w:pPr>
            <w:r>
              <w:t>全年食品快速检测的批次</w:t>
            </w:r>
          </w:p>
        </w:tc>
        <w:tc>
          <w:tcPr>
            <w:tcW w:w="644" w:type="pct"/>
            <w:vAlign w:val="center"/>
          </w:tcPr>
          <w:p>
            <w:pPr>
              <w:pStyle w:val="19"/>
            </w:pPr>
            <w:r>
              <w:t>≥1320批次</w:t>
            </w:r>
          </w:p>
        </w:tc>
        <w:tc>
          <w:tcPr>
            <w:tcW w:w="931" w:type="pct"/>
            <w:vAlign w:val="center"/>
          </w:tcPr>
          <w:p>
            <w:pPr>
              <w:pStyle w:val="19"/>
            </w:pPr>
            <w:r>
              <w:t>实际需求、抽检计划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6"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不合格报告核查处置率</w:t>
            </w:r>
          </w:p>
        </w:tc>
        <w:tc>
          <w:tcPr>
            <w:tcW w:w="1461" w:type="pct"/>
            <w:vAlign w:val="center"/>
          </w:tcPr>
          <w:p>
            <w:pPr>
              <w:pStyle w:val="19"/>
            </w:pPr>
            <w:r>
              <w:t>考核规定时间内食品专项抽检不合格报告核查处置情况</w:t>
            </w:r>
          </w:p>
        </w:tc>
        <w:tc>
          <w:tcPr>
            <w:tcW w:w="644" w:type="pct"/>
            <w:vAlign w:val="center"/>
          </w:tcPr>
          <w:p>
            <w:pPr>
              <w:pStyle w:val="19"/>
            </w:pPr>
            <w:r>
              <w:t>100%</w:t>
            </w:r>
          </w:p>
        </w:tc>
        <w:tc>
          <w:tcPr>
            <w:tcW w:w="931" w:type="pct"/>
            <w:vAlign w:val="center"/>
          </w:tcPr>
          <w:p>
            <w:pPr>
              <w:pStyle w:val="19"/>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监管工作完成及时性</w:t>
            </w:r>
          </w:p>
        </w:tc>
        <w:tc>
          <w:tcPr>
            <w:tcW w:w="1461" w:type="pct"/>
            <w:vAlign w:val="center"/>
          </w:tcPr>
          <w:p>
            <w:pPr>
              <w:pStyle w:val="19"/>
            </w:pPr>
            <w:r>
              <w:t>考核项目是否按计划时间完成</w:t>
            </w:r>
          </w:p>
        </w:tc>
        <w:tc>
          <w:tcPr>
            <w:tcW w:w="644" w:type="pct"/>
            <w:vAlign w:val="center"/>
          </w:tcPr>
          <w:p>
            <w:pPr>
              <w:pStyle w:val="19"/>
            </w:pPr>
            <w:r>
              <w:t>≤12月</w:t>
            </w:r>
          </w:p>
        </w:tc>
        <w:tc>
          <w:tcPr>
            <w:tcW w:w="931" w:type="pct"/>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8"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单位成本控制有效性</w:t>
            </w:r>
          </w:p>
        </w:tc>
        <w:tc>
          <w:tcPr>
            <w:tcW w:w="1461" w:type="pct"/>
            <w:vAlign w:val="center"/>
          </w:tcPr>
          <w:p>
            <w:pPr>
              <w:pStyle w:val="19"/>
            </w:pPr>
            <w:r>
              <w:t>考核各项活动成本是否控制在标准以内</w:t>
            </w:r>
          </w:p>
        </w:tc>
        <w:tc>
          <w:tcPr>
            <w:tcW w:w="644" w:type="pct"/>
            <w:vAlign w:val="center"/>
          </w:tcPr>
          <w:p>
            <w:pPr>
              <w:pStyle w:val="19"/>
            </w:pPr>
            <w:r>
              <w:t>有效</w:t>
            </w:r>
          </w:p>
        </w:tc>
        <w:tc>
          <w:tcPr>
            <w:tcW w:w="931" w:type="pct"/>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8"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重大食品安全事件次数</w:t>
            </w:r>
          </w:p>
        </w:tc>
        <w:tc>
          <w:tcPr>
            <w:tcW w:w="1461" w:type="pct"/>
            <w:vAlign w:val="center"/>
          </w:tcPr>
          <w:p>
            <w:pPr>
              <w:pStyle w:val="19"/>
            </w:pPr>
            <w:r>
              <w:t>考核全年是否发生重大食品安全事件</w:t>
            </w:r>
          </w:p>
        </w:tc>
        <w:tc>
          <w:tcPr>
            <w:tcW w:w="644" w:type="pct"/>
            <w:vAlign w:val="center"/>
          </w:tcPr>
          <w:p>
            <w:pPr>
              <w:pStyle w:val="19"/>
            </w:pPr>
            <w:r>
              <w:t>0次</w:t>
            </w:r>
          </w:p>
        </w:tc>
        <w:tc>
          <w:tcPr>
            <w:tcW w:w="931" w:type="pct"/>
            <w:vAlign w:val="center"/>
          </w:tcPr>
          <w:p>
            <w:pPr>
              <w:pStyle w:val="19"/>
            </w:pPr>
            <w:r>
              <w:t>调查报表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8"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考核项目单位相关管理机制建立健全情况</w:t>
            </w:r>
          </w:p>
        </w:tc>
        <w:tc>
          <w:tcPr>
            <w:tcW w:w="644" w:type="pct"/>
            <w:vAlign w:val="center"/>
          </w:tcPr>
          <w:p>
            <w:pPr>
              <w:pStyle w:val="19"/>
            </w:pPr>
            <w:r>
              <w:t>健全</w:t>
            </w:r>
          </w:p>
        </w:tc>
        <w:tc>
          <w:tcPr>
            <w:tcW w:w="931" w:type="pct"/>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群众满意度</w:t>
            </w:r>
          </w:p>
        </w:tc>
        <w:tc>
          <w:tcPr>
            <w:tcW w:w="1461" w:type="pct"/>
            <w:vAlign w:val="center"/>
          </w:tcPr>
          <w:p>
            <w:pPr>
              <w:pStyle w:val="19"/>
            </w:pPr>
            <w:r>
              <w:t>人民群众对食品监管工作的满意程度</w:t>
            </w:r>
          </w:p>
        </w:tc>
        <w:tc>
          <w:tcPr>
            <w:tcW w:w="644" w:type="pct"/>
            <w:vAlign w:val="center"/>
          </w:tcPr>
          <w:p>
            <w:pPr>
              <w:pStyle w:val="19"/>
            </w:pPr>
            <w:r>
              <w:t>≥90%</w:t>
            </w:r>
          </w:p>
        </w:tc>
        <w:tc>
          <w:tcPr>
            <w:tcW w:w="931" w:type="pct"/>
            <w:vAlign w:val="center"/>
          </w:tcPr>
          <w:p>
            <w:pPr>
              <w:pStyle w:val="19"/>
            </w:pPr>
            <w:r>
              <w:t>调查问卷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食品抽检经费绩效目标表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9" w:hRule="atLeast"/>
          <w:jc w:val="center"/>
        </w:trPr>
        <w:tc>
          <w:tcPr>
            <w:tcW w:w="644" w:type="pct"/>
            <w:vAlign w:val="center"/>
          </w:tcPr>
          <w:p>
            <w:pPr>
              <w:pStyle w:val="18"/>
            </w:pPr>
            <w:r>
              <w:t>绩效目标</w:t>
            </w:r>
          </w:p>
        </w:tc>
        <w:tc>
          <w:tcPr>
            <w:tcW w:w="4355" w:type="pct"/>
            <w:vAlign w:val="center"/>
          </w:tcPr>
          <w:p>
            <w:pPr>
              <w:pStyle w:val="19"/>
            </w:pPr>
            <w:r>
              <w:t>1.目标内容1通过开展食品抽检，对有严重风险隐患的食品“零容忍”，倒逼生产经营企业落实食品安全主体责任，巩固食品安全稳定向好的态势，预防食品安全事故的发生，切实保障人民群众食品消费安全。</w:t>
            </w:r>
          </w:p>
          <w:p>
            <w:pPr>
              <w:pStyle w:val="19"/>
            </w:pPr>
            <w:r>
              <w:t>2.目标内容2通过开展食品安全监督抽检2060批次，抽检批次占常住人口达0.45%，在平均单位成本不超过0.1万元前提下，预防食品安全事故的发生，切实保障人民群众食品消费安全。</w:t>
            </w: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抽检批次</w:t>
            </w:r>
          </w:p>
        </w:tc>
        <w:tc>
          <w:tcPr>
            <w:tcW w:w="1461" w:type="pct"/>
            <w:vAlign w:val="center"/>
          </w:tcPr>
          <w:p>
            <w:pPr>
              <w:pStyle w:val="19"/>
            </w:pPr>
            <w:r>
              <w:t>对全县食品生产、销售、餐饮环节监督抽检批次</w:t>
            </w:r>
          </w:p>
        </w:tc>
        <w:tc>
          <w:tcPr>
            <w:tcW w:w="644" w:type="pct"/>
            <w:vAlign w:val="center"/>
          </w:tcPr>
          <w:p>
            <w:pPr>
              <w:pStyle w:val="19"/>
            </w:pPr>
            <w:r>
              <w:t>≥2060批次</w:t>
            </w:r>
          </w:p>
        </w:tc>
        <w:tc>
          <w:tcPr>
            <w:tcW w:w="931" w:type="pct"/>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食品抽检覆盖率</w:t>
            </w:r>
          </w:p>
        </w:tc>
        <w:tc>
          <w:tcPr>
            <w:tcW w:w="1461" w:type="pct"/>
            <w:vAlign w:val="center"/>
          </w:tcPr>
          <w:p>
            <w:pPr>
              <w:pStyle w:val="19"/>
            </w:pPr>
            <w:r>
              <w:t>常住人口食品抽检覆盖率</w:t>
            </w:r>
          </w:p>
        </w:tc>
        <w:tc>
          <w:tcPr>
            <w:tcW w:w="644" w:type="pct"/>
            <w:vAlign w:val="center"/>
          </w:tcPr>
          <w:p>
            <w:pPr>
              <w:pStyle w:val="19"/>
            </w:pPr>
            <w:r>
              <w:t>≥0.45%</w:t>
            </w:r>
          </w:p>
        </w:tc>
        <w:tc>
          <w:tcPr>
            <w:tcW w:w="931" w:type="pct"/>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抽检及时性</w:t>
            </w:r>
          </w:p>
        </w:tc>
        <w:tc>
          <w:tcPr>
            <w:tcW w:w="1461" w:type="pct"/>
            <w:vAlign w:val="center"/>
          </w:tcPr>
          <w:p>
            <w:pPr>
              <w:pStyle w:val="19"/>
            </w:pPr>
            <w:r>
              <w:t>考核抽检工作是否按照计划时间开展、完成</w:t>
            </w:r>
          </w:p>
        </w:tc>
        <w:tc>
          <w:tcPr>
            <w:tcW w:w="644" w:type="pct"/>
            <w:vAlign w:val="center"/>
          </w:tcPr>
          <w:p>
            <w:pPr>
              <w:pStyle w:val="19"/>
            </w:pPr>
            <w:r>
              <w:t>≤12月</w:t>
            </w:r>
          </w:p>
        </w:tc>
        <w:tc>
          <w:tcPr>
            <w:tcW w:w="931" w:type="pct"/>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平均单次抽检成本</w:t>
            </w:r>
          </w:p>
        </w:tc>
        <w:tc>
          <w:tcPr>
            <w:tcW w:w="1461" w:type="pct"/>
            <w:vAlign w:val="center"/>
          </w:tcPr>
          <w:p>
            <w:pPr>
              <w:pStyle w:val="19"/>
            </w:pPr>
            <w:r>
              <w:t>平均单次抽检成本</w:t>
            </w:r>
          </w:p>
        </w:tc>
        <w:tc>
          <w:tcPr>
            <w:tcW w:w="644" w:type="pct"/>
            <w:vAlign w:val="center"/>
          </w:tcPr>
          <w:p>
            <w:pPr>
              <w:pStyle w:val="19"/>
            </w:pPr>
            <w:r>
              <w:t>≤0.1万元</w:t>
            </w:r>
          </w:p>
        </w:tc>
        <w:tc>
          <w:tcPr>
            <w:tcW w:w="931" w:type="pct"/>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食用农产品专项不合格发现率</w:t>
            </w:r>
          </w:p>
        </w:tc>
        <w:tc>
          <w:tcPr>
            <w:tcW w:w="1461" w:type="pct"/>
            <w:vAlign w:val="center"/>
          </w:tcPr>
          <w:p>
            <w:pPr>
              <w:pStyle w:val="19"/>
            </w:pPr>
            <w:r>
              <w:t>食用农产品专项抽检中不合格食用农产品批次占食用农产品专项抽检总批次的比率</w:t>
            </w:r>
          </w:p>
        </w:tc>
        <w:tc>
          <w:tcPr>
            <w:tcW w:w="644" w:type="pct"/>
            <w:vAlign w:val="center"/>
          </w:tcPr>
          <w:p>
            <w:pPr>
              <w:pStyle w:val="19"/>
            </w:pPr>
            <w:r>
              <w:t>≥3.2%</w:t>
            </w:r>
          </w:p>
        </w:tc>
        <w:tc>
          <w:tcPr>
            <w:tcW w:w="931" w:type="pct"/>
            <w:vAlign w:val="center"/>
          </w:tcPr>
          <w:p>
            <w:pPr>
              <w:pStyle w:val="19"/>
            </w:pPr>
            <w:r>
              <w:t>抽检报告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21"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长效管理机制建全性</w:t>
            </w:r>
          </w:p>
        </w:tc>
        <w:tc>
          <w:tcPr>
            <w:tcW w:w="1461" w:type="pct"/>
            <w:vAlign w:val="center"/>
          </w:tcPr>
          <w:p>
            <w:pPr>
              <w:pStyle w:val="19"/>
            </w:pPr>
            <w:r>
              <w:t>考核项目是否具有明确指向性部门规章及明确的工作流程</w:t>
            </w:r>
          </w:p>
        </w:tc>
        <w:tc>
          <w:tcPr>
            <w:tcW w:w="644" w:type="pct"/>
            <w:vAlign w:val="center"/>
          </w:tcPr>
          <w:p>
            <w:pPr>
              <w:pStyle w:val="19"/>
            </w:pPr>
            <w:r>
              <w:t>健全</w:t>
            </w:r>
          </w:p>
        </w:tc>
        <w:tc>
          <w:tcPr>
            <w:tcW w:w="931" w:type="pct"/>
            <w:vAlign w:val="center"/>
          </w:tcPr>
          <w:p>
            <w:pPr>
              <w:pStyle w:val="19"/>
            </w:pPr>
            <w:r>
              <w:t>规章资料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群众满意度</w:t>
            </w:r>
          </w:p>
        </w:tc>
        <w:tc>
          <w:tcPr>
            <w:tcW w:w="1461" w:type="pct"/>
            <w:vAlign w:val="center"/>
          </w:tcPr>
          <w:p>
            <w:pPr>
              <w:pStyle w:val="19"/>
            </w:pPr>
            <w:r>
              <w:t>调查对象中满意人员占被调查人员总数的比率</w:t>
            </w:r>
          </w:p>
        </w:tc>
        <w:tc>
          <w:tcPr>
            <w:tcW w:w="644" w:type="pct"/>
            <w:vAlign w:val="center"/>
          </w:tcPr>
          <w:p>
            <w:pPr>
              <w:pStyle w:val="19"/>
            </w:pPr>
            <w:r>
              <w:t>≥90%</w:t>
            </w:r>
          </w:p>
        </w:tc>
        <w:tc>
          <w:tcPr>
            <w:tcW w:w="931" w:type="pct"/>
            <w:vAlign w:val="center"/>
          </w:tcPr>
          <w:p>
            <w:pPr>
              <w:pStyle w:val="19"/>
            </w:pPr>
            <w:r>
              <w:t>调查问卷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市场监管业务经费绩效目标表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674" w:hRule="atLeast"/>
          <w:jc w:val="center"/>
        </w:trPr>
        <w:tc>
          <w:tcPr>
            <w:tcW w:w="644" w:type="pct"/>
            <w:vAlign w:val="center"/>
          </w:tcPr>
          <w:p>
            <w:pPr>
              <w:pStyle w:val="18"/>
            </w:pPr>
            <w:r>
              <w:t>绩效目标</w:t>
            </w:r>
          </w:p>
        </w:tc>
        <w:tc>
          <w:tcPr>
            <w:tcW w:w="4355" w:type="pct"/>
            <w:vAlign w:val="center"/>
          </w:tcPr>
          <w:p>
            <w:pPr>
              <w:pStyle w:val="19"/>
            </w:pPr>
            <w:r>
              <w:t>1.通过项目的开展，深入开展市场监督管理，加大市场监管力度，加强信用监管，推进市场主体信用体系建设，维护公平竞争的市场秩序，促进社会和谐稳定。</w:t>
            </w:r>
            <w:r>
              <w:tab/>
            </w:r>
            <w:r>
              <w:tab/>
            </w:r>
            <w:r>
              <w:tab/>
            </w:r>
            <w:r>
              <w:tab/>
            </w:r>
            <w:r>
              <w:tab/>
            </w:r>
            <w:r>
              <w:tab/>
            </w:r>
          </w:p>
          <w:p>
            <w:pPr>
              <w:pStyle w:val="19"/>
            </w:pPr>
          </w:p>
          <w:p>
            <w:pPr>
              <w:pStyle w:val="19"/>
            </w:pPr>
            <w:r>
              <w:t>2.通过以发放宣传材料、群发短信、“香河市场监管”等微信公众号推送等方式向至少4万户市场主体进行业务宣传，使年报率达到70%以上，确保及时完成工作任务，全年无重大案件发生，群众的满意程度达到90%以上。</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监管户数</w:t>
            </w:r>
          </w:p>
        </w:tc>
        <w:tc>
          <w:tcPr>
            <w:tcW w:w="1461" w:type="pct"/>
            <w:vAlign w:val="center"/>
          </w:tcPr>
          <w:p>
            <w:pPr>
              <w:pStyle w:val="19"/>
            </w:pPr>
            <w:r>
              <w:t>监督管理企业、个体工商户等户数</w:t>
            </w:r>
          </w:p>
        </w:tc>
        <w:tc>
          <w:tcPr>
            <w:tcW w:w="644" w:type="pct"/>
            <w:vAlign w:val="center"/>
          </w:tcPr>
          <w:p>
            <w:pPr>
              <w:pStyle w:val="19"/>
            </w:pPr>
            <w:r>
              <w:t>≥4万</w:t>
            </w:r>
          </w:p>
        </w:tc>
        <w:tc>
          <w:tcPr>
            <w:tcW w:w="931" w:type="pct"/>
            <w:vAlign w:val="center"/>
          </w:tcPr>
          <w:p>
            <w:pPr>
              <w:pStyle w:val="19"/>
            </w:pPr>
            <w:r>
              <w:t>根据实际注册情况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6"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年报率</w:t>
            </w:r>
          </w:p>
        </w:tc>
        <w:tc>
          <w:tcPr>
            <w:tcW w:w="1461" w:type="pct"/>
            <w:vAlign w:val="center"/>
          </w:tcPr>
          <w:p>
            <w:pPr>
              <w:pStyle w:val="19"/>
            </w:pPr>
            <w:r>
              <w:t>参加年报公示的市场主体占所有市场主体的比例</w:t>
            </w:r>
          </w:p>
        </w:tc>
        <w:tc>
          <w:tcPr>
            <w:tcW w:w="644" w:type="pct"/>
            <w:vAlign w:val="center"/>
          </w:tcPr>
          <w:p>
            <w:pPr>
              <w:pStyle w:val="19"/>
            </w:pPr>
            <w:r>
              <w:t>≥70%</w:t>
            </w:r>
          </w:p>
        </w:tc>
        <w:tc>
          <w:tcPr>
            <w:tcW w:w="931" w:type="pct"/>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完成及时性</w:t>
            </w:r>
          </w:p>
        </w:tc>
        <w:tc>
          <w:tcPr>
            <w:tcW w:w="1461" w:type="pct"/>
            <w:vAlign w:val="center"/>
          </w:tcPr>
          <w:p>
            <w:pPr>
              <w:pStyle w:val="19"/>
            </w:pPr>
            <w:r>
              <w:t>年报宣传是否在规定时间完成</w:t>
            </w:r>
          </w:p>
        </w:tc>
        <w:tc>
          <w:tcPr>
            <w:tcW w:w="644" w:type="pct"/>
            <w:vAlign w:val="center"/>
          </w:tcPr>
          <w:p>
            <w:pPr>
              <w:pStyle w:val="19"/>
            </w:pPr>
            <w:r>
              <w:t>≤6月</w:t>
            </w:r>
          </w:p>
        </w:tc>
        <w:tc>
          <w:tcPr>
            <w:tcW w:w="931" w:type="pct"/>
            <w:vAlign w:val="center"/>
          </w:tcPr>
          <w:p>
            <w:pPr>
              <w:pStyle w:val="19"/>
            </w:pPr>
            <w:r>
              <w:t>年度工作开展计划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8"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成本控制有效性</w:t>
            </w:r>
          </w:p>
        </w:tc>
        <w:tc>
          <w:tcPr>
            <w:tcW w:w="1461" w:type="pct"/>
            <w:vAlign w:val="center"/>
          </w:tcPr>
          <w:p>
            <w:pPr>
              <w:pStyle w:val="19"/>
            </w:pPr>
            <w:r>
              <w:t>考核项目实际支出是否控制在预算金额内</w:t>
            </w:r>
          </w:p>
        </w:tc>
        <w:tc>
          <w:tcPr>
            <w:tcW w:w="644" w:type="pct"/>
            <w:vAlign w:val="center"/>
          </w:tcPr>
          <w:p>
            <w:pPr>
              <w:pStyle w:val="19"/>
            </w:pPr>
            <w:r>
              <w:t>有效</w:t>
            </w:r>
          </w:p>
        </w:tc>
        <w:tc>
          <w:tcPr>
            <w:tcW w:w="931" w:type="pct"/>
            <w:vAlign w:val="center"/>
          </w:tcPr>
          <w:p>
            <w:pPr>
              <w:pStyle w:val="19"/>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6"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重大案件发生次数</w:t>
            </w:r>
          </w:p>
        </w:tc>
        <w:tc>
          <w:tcPr>
            <w:tcW w:w="1461" w:type="pct"/>
            <w:vAlign w:val="center"/>
          </w:tcPr>
          <w:p>
            <w:pPr>
              <w:pStyle w:val="19"/>
            </w:pPr>
            <w:r>
              <w:t>考核全年重大案件发生的次数</w:t>
            </w:r>
          </w:p>
        </w:tc>
        <w:tc>
          <w:tcPr>
            <w:tcW w:w="644" w:type="pct"/>
            <w:vAlign w:val="center"/>
          </w:tcPr>
          <w:p>
            <w:pPr>
              <w:pStyle w:val="19"/>
            </w:pPr>
            <w:r>
              <w:t>0次</w:t>
            </w:r>
          </w:p>
        </w:tc>
        <w:tc>
          <w:tcPr>
            <w:tcW w:w="931" w:type="pct"/>
            <w:vAlign w:val="center"/>
          </w:tcPr>
          <w:p>
            <w:pPr>
              <w:pStyle w:val="1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考核项目单位相关管理机制的建立健全情况</w:t>
            </w:r>
          </w:p>
        </w:tc>
        <w:tc>
          <w:tcPr>
            <w:tcW w:w="644" w:type="pct"/>
            <w:vAlign w:val="center"/>
          </w:tcPr>
          <w:p>
            <w:pPr>
              <w:pStyle w:val="19"/>
            </w:pPr>
            <w:r>
              <w:t>健全</w:t>
            </w:r>
          </w:p>
        </w:tc>
        <w:tc>
          <w:tcPr>
            <w:tcW w:w="931" w:type="pct"/>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群众满意度</w:t>
            </w:r>
          </w:p>
        </w:tc>
        <w:tc>
          <w:tcPr>
            <w:tcW w:w="1461" w:type="pct"/>
            <w:vAlign w:val="center"/>
          </w:tcPr>
          <w:p>
            <w:pPr>
              <w:pStyle w:val="19"/>
            </w:pPr>
            <w:r>
              <w:t>群众对工作开展的满意程度</w:t>
            </w:r>
          </w:p>
        </w:tc>
        <w:tc>
          <w:tcPr>
            <w:tcW w:w="644" w:type="pct"/>
            <w:vAlign w:val="center"/>
          </w:tcPr>
          <w:p>
            <w:pPr>
              <w:pStyle w:val="19"/>
            </w:pPr>
            <w:r>
              <w:t>≥90%</w:t>
            </w:r>
          </w:p>
        </w:tc>
        <w:tc>
          <w:tcPr>
            <w:tcW w:w="931" w:type="pct"/>
            <w:vAlign w:val="center"/>
          </w:tcPr>
          <w:p>
            <w:pPr>
              <w:pStyle w:val="19"/>
            </w:pPr>
            <w:r>
              <w:t>调查问卷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numPr>
          <w:ilvl w:val="0"/>
          <w:numId w:val="1"/>
        </w:numPr>
        <w:ind w:left="920" w:leftChars="0" w:hanging="360" w:firstLineChars="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市场秩序执法专项经费绩效目标表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471" w:hRule="atLeast"/>
          <w:jc w:val="center"/>
        </w:trPr>
        <w:tc>
          <w:tcPr>
            <w:tcW w:w="644" w:type="pct"/>
            <w:vAlign w:val="center"/>
          </w:tcPr>
          <w:p>
            <w:pPr>
              <w:pStyle w:val="18"/>
            </w:pPr>
            <w:r>
              <w:t>绩效目标</w:t>
            </w:r>
          </w:p>
        </w:tc>
        <w:tc>
          <w:tcPr>
            <w:tcW w:w="4355" w:type="pct"/>
            <w:vAlign w:val="center"/>
          </w:tcPr>
          <w:p>
            <w:pPr>
              <w:pStyle w:val="19"/>
            </w:pPr>
            <w:r>
              <w:t>1.目标内容1深入推进执法体制改革，促进提升全县食品药品、知识产权、反不正当竞争、特种设备、区域产品质量等行政执法工作水平，形成统一开放竞争有序的现代市场体系，促进社会和谐稳定。</w:t>
            </w:r>
          </w:p>
          <w:p>
            <w:pPr>
              <w:pStyle w:val="19"/>
            </w:pPr>
            <w:r>
              <w:t>2.目标内容2通过设立该项目，开展专项执法活动不低于6次，项目总成本控制在40万元以内；行政处罚信息公开率达100%，健全长效管理机制，群众满意度达90%以上。</w:t>
            </w: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2"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执法活动次数</w:t>
            </w:r>
          </w:p>
        </w:tc>
        <w:tc>
          <w:tcPr>
            <w:tcW w:w="1461" w:type="pct"/>
            <w:vAlign w:val="center"/>
          </w:tcPr>
          <w:p>
            <w:pPr>
              <w:pStyle w:val="19"/>
            </w:pPr>
            <w:r>
              <w:t>当年专项执法活动开展次数</w:t>
            </w:r>
          </w:p>
        </w:tc>
        <w:tc>
          <w:tcPr>
            <w:tcW w:w="644" w:type="pct"/>
            <w:vAlign w:val="center"/>
          </w:tcPr>
          <w:p>
            <w:pPr>
              <w:pStyle w:val="19"/>
            </w:pPr>
            <w:r>
              <w:t>≥6次</w:t>
            </w:r>
          </w:p>
        </w:tc>
        <w:tc>
          <w:tcPr>
            <w:tcW w:w="931" w:type="pct"/>
            <w:vAlign w:val="center"/>
          </w:tcPr>
          <w:p>
            <w:pPr>
              <w:pStyle w:val="19"/>
            </w:pPr>
            <w:r>
              <w:t>执法工作要点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3"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专项执法行动落实率</w:t>
            </w:r>
          </w:p>
        </w:tc>
        <w:tc>
          <w:tcPr>
            <w:tcW w:w="1461" w:type="pct"/>
            <w:vAlign w:val="center"/>
          </w:tcPr>
          <w:p>
            <w:pPr>
              <w:pStyle w:val="19"/>
            </w:pPr>
            <w:r>
              <w:t>专项执法活动落实情况</w:t>
            </w:r>
          </w:p>
        </w:tc>
        <w:tc>
          <w:tcPr>
            <w:tcW w:w="644" w:type="pct"/>
            <w:vAlign w:val="center"/>
          </w:tcPr>
          <w:p>
            <w:pPr>
              <w:pStyle w:val="19"/>
            </w:pPr>
            <w:r>
              <w:t>100%</w:t>
            </w:r>
          </w:p>
        </w:tc>
        <w:tc>
          <w:tcPr>
            <w:tcW w:w="931" w:type="pct"/>
            <w:vAlign w:val="center"/>
          </w:tcPr>
          <w:p>
            <w:pPr>
              <w:pStyle w:val="19"/>
            </w:pPr>
            <w:r>
              <w:t>通知、项目资料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执法活动开展及时性</w:t>
            </w:r>
          </w:p>
        </w:tc>
        <w:tc>
          <w:tcPr>
            <w:tcW w:w="1461" w:type="pct"/>
            <w:vAlign w:val="center"/>
          </w:tcPr>
          <w:p>
            <w:pPr>
              <w:pStyle w:val="19"/>
            </w:pPr>
            <w:r>
              <w:t>是否按计划及时开展、完成专项执法活动</w:t>
            </w:r>
          </w:p>
        </w:tc>
        <w:tc>
          <w:tcPr>
            <w:tcW w:w="644" w:type="pct"/>
            <w:vAlign w:val="center"/>
          </w:tcPr>
          <w:p>
            <w:pPr>
              <w:pStyle w:val="19"/>
            </w:pPr>
            <w:r>
              <w:t>及时</w:t>
            </w:r>
          </w:p>
        </w:tc>
        <w:tc>
          <w:tcPr>
            <w:tcW w:w="931" w:type="pct"/>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95"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成本控制有效性</w:t>
            </w:r>
          </w:p>
        </w:tc>
        <w:tc>
          <w:tcPr>
            <w:tcW w:w="1461" w:type="pct"/>
            <w:vAlign w:val="center"/>
          </w:tcPr>
          <w:p>
            <w:pPr>
              <w:pStyle w:val="19"/>
            </w:pPr>
            <w:r>
              <w:t>考核实际支出是否控制在预算金额内，反映成本控制情况</w:t>
            </w:r>
          </w:p>
        </w:tc>
        <w:tc>
          <w:tcPr>
            <w:tcW w:w="644" w:type="pct"/>
            <w:vAlign w:val="center"/>
          </w:tcPr>
          <w:p>
            <w:pPr>
              <w:pStyle w:val="19"/>
            </w:pPr>
            <w:r>
              <w:t>≤40万元</w:t>
            </w:r>
          </w:p>
        </w:tc>
        <w:tc>
          <w:tcPr>
            <w:tcW w:w="931" w:type="pct"/>
            <w:vAlign w:val="center"/>
          </w:tcPr>
          <w:p>
            <w:pPr>
              <w:pStyle w:val="19"/>
            </w:pPr>
            <w:r>
              <w:t>财务资料、预算文本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行政处罚信息公开率</w:t>
            </w:r>
          </w:p>
        </w:tc>
        <w:tc>
          <w:tcPr>
            <w:tcW w:w="1461" w:type="pct"/>
            <w:vAlign w:val="center"/>
          </w:tcPr>
          <w:p>
            <w:pPr>
              <w:pStyle w:val="19"/>
            </w:pPr>
            <w:r>
              <w:t>本年度办案处罚公开情况</w:t>
            </w:r>
          </w:p>
        </w:tc>
        <w:tc>
          <w:tcPr>
            <w:tcW w:w="644" w:type="pct"/>
            <w:vAlign w:val="center"/>
          </w:tcPr>
          <w:p>
            <w:pPr>
              <w:pStyle w:val="19"/>
            </w:pPr>
            <w:r>
              <w:t>100%</w:t>
            </w:r>
          </w:p>
        </w:tc>
        <w:tc>
          <w:tcPr>
            <w:tcW w:w="931" w:type="pct"/>
            <w:vAlign w:val="center"/>
          </w:tcPr>
          <w:p>
            <w:pPr>
              <w:pStyle w:val="19"/>
            </w:pPr>
            <w:r>
              <w:t>公开资料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考核项目单位相关管理机制的建立健全情况</w:t>
            </w:r>
          </w:p>
        </w:tc>
        <w:tc>
          <w:tcPr>
            <w:tcW w:w="644" w:type="pct"/>
            <w:vAlign w:val="center"/>
          </w:tcPr>
          <w:p>
            <w:pPr>
              <w:pStyle w:val="19"/>
            </w:pPr>
            <w:r>
              <w:t>健全</w:t>
            </w:r>
          </w:p>
        </w:tc>
        <w:tc>
          <w:tcPr>
            <w:tcW w:w="931" w:type="pct"/>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2"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群众满意度</w:t>
            </w:r>
          </w:p>
        </w:tc>
        <w:tc>
          <w:tcPr>
            <w:tcW w:w="1461" w:type="pct"/>
            <w:vAlign w:val="center"/>
          </w:tcPr>
          <w:p>
            <w:pPr>
              <w:pStyle w:val="19"/>
            </w:pPr>
            <w:r>
              <w:t>调查中满意的人数占调查总数的比率</w:t>
            </w:r>
          </w:p>
        </w:tc>
        <w:tc>
          <w:tcPr>
            <w:tcW w:w="644" w:type="pct"/>
            <w:vAlign w:val="center"/>
          </w:tcPr>
          <w:p>
            <w:pPr>
              <w:pStyle w:val="19"/>
            </w:pPr>
            <w:r>
              <w:t>≥90%</w:t>
            </w:r>
          </w:p>
        </w:tc>
        <w:tc>
          <w:tcPr>
            <w:tcW w:w="931" w:type="pct"/>
            <w:vAlign w:val="center"/>
          </w:tcPr>
          <w:p>
            <w:pPr>
              <w:pStyle w:val="19"/>
            </w:pPr>
            <w:r>
              <w:t>调查问卷</w:t>
            </w:r>
          </w:p>
        </w:tc>
      </w:tr>
    </w:tbl>
    <w:p/>
    <w:p/>
    <w:p>
      <w:pPr>
        <w:ind w:firstLine="560"/>
        <w:outlineLvl w:val="3"/>
      </w:pPr>
      <w:r>
        <w:rPr>
          <w:rFonts w:ascii="方正仿宋_GBK" w:hAnsi="方正仿宋_GBK" w:eastAsia="方正仿宋_GBK" w:cs="方正仿宋_GBK"/>
          <w:color w:val="000000"/>
          <w:sz w:val="28"/>
        </w:rPr>
        <w:t>13.药械化妆品安全监管经费绩效目标表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7" w:hRule="atLeast"/>
          <w:jc w:val="center"/>
        </w:trPr>
        <w:tc>
          <w:tcPr>
            <w:tcW w:w="644" w:type="pct"/>
            <w:vAlign w:val="center"/>
          </w:tcPr>
          <w:p>
            <w:pPr>
              <w:pStyle w:val="18"/>
            </w:pPr>
            <w:r>
              <w:t>绩效目标</w:t>
            </w:r>
          </w:p>
        </w:tc>
        <w:tc>
          <w:tcPr>
            <w:tcW w:w="4355" w:type="pct"/>
            <w:vAlign w:val="center"/>
          </w:tcPr>
          <w:p>
            <w:pPr>
              <w:pStyle w:val="19"/>
            </w:pPr>
            <w:r>
              <w:t>1.目标内容1：通过项目的开展实现我县药品、医疗器械、化妆品质量安全，确保市场无假劣产品，保障人民群众合法权益不受侵害。</w:t>
            </w:r>
          </w:p>
          <w:p>
            <w:pPr>
              <w:pStyle w:val="19"/>
            </w:pPr>
            <w:r>
              <w:t>2.目标内容2：通过及时开展不少于4次的药械化妆品安全宣传活动，严格控制宣传教育资料质量情况，确保验收合格率达100%，实现药品、医疗器械、化妆品质量安全，保障全年无重大药品安全事件发生，群众满意度达90%以上。</w:t>
            </w: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2"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宣传活动场次</w:t>
            </w:r>
          </w:p>
        </w:tc>
        <w:tc>
          <w:tcPr>
            <w:tcW w:w="1461" w:type="pct"/>
            <w:vAlign w:val="center"/>
          </w:tcPr>
          <w:p>
            <w:pPr>
              <w:pStyle w:val="19"/>
            </w:pPr>
            <w:r>
              <w:t>药械化不良反应普法宣传场次</w:t>
            </w:r>
          </w:p>
        </w:tc>
        <w:tc>
          <w:tcPr>
            <w:tcW w:w="644" w:type="pct"/>
            <w:vAlign w:val="center"/>
          </w:tcPr>
          <w:p>
            <w:pPr>
              <w:pStyle w:val="19"/>
            </w:pPr>
            <w:r>
              <w:t>≥4场</w:t>
            </w:r>
          </w:p>
        </w:tc>
        <w:tc>
          <w:tcPr>
            <w:tcW w:w="931" w:type="pct"/>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2"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宣传教育资料验收合格率</w:t>
            </w:r>
          </w:p>
        </w:tc>
        <w:tc>
          <w:tcPr>
            <w:tcW w:w="1461" w:type="pct"/>
            <w:vAlign w:val="center"/>
          </w:tcPr>
          <w:p>
            <w:pPr>
              <w:pStyle w:val="19"/>
            </w:pPr>
            <w:r>
              <w:t>考核宣传教育资料是否满足部门要求，验收是否合格</w:t>
            </w:r>
          </w:p>
        </w:tc>
        <w:tc>
          <w:tcPr>
            <w:tcW w:w="644" w:type="pct"/>
            <w:vAlign w:val="center"/>
          </w:tcPr>
          <w:p>
            <w:pPr>
              <w:pStyle w:val="19"/>
            </w:pPr>
            <w:r>
              <w:t>100%</w:t>
            </w:r>
          </w:p>
        </w:tc>
        <w:tc>
          <w:tcPr>
            <w:tcW w:w="931" w:type="pct"/>
            <w:vAlign w:val="center"/>
          </w:tcPr>
          <w:p>
            <w:pPr>
              <w:pStyle w:val="19"/>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6"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监管工作完成及时性</w:t>
            </w:r>
          </w:p>
        </w:tc>
        <w:tc>
          <w:tcPr>
            <w:tcW w:w="1461" w:type="pct"/>
            <w:vAlign w:val="center"/>
          </w:tcPr>
          <w:p>
            <w:pPr>
              <w:pStyle w:val="19"/>
            </w:pPr>
            <w:r>
              <w:t>考核项目是否按计划时间完成</w:t>
            </w:r>
          </w:p>
        </w:tc>
        <w:tc>
          <w:tcPr>
            <w:tcW w:w="644" w:type="pct"/>
            <w:vAlign w:val="center"/>
          </w:tcPr>
          <w:p>
            <w:pPr>
              <w:pStyle w:val="19"/>
            </w:pPr>
            <w:r>
              <w:t>≤12月</w:t>
            </w:r>
          </w:p>
        </w:tc>
        <w:tc>
          <w:tcPr>
            <w:tcW w:w="931" w:type="pct"/>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6"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监管成本</w:t>
            </w:r>
          </w:p>
        </w:tc>
        <w:tc>
          <w:tcPr>
            <w:tcW w:w="1461" w:type="pct"/>
            <w:vAlign w:val="center"/>
          </w:tcPr>
          <w:p>
            <w:pPr>
              <w:pStyle w:val="19"/>
            </w:pPr>
            <w:r>
              <w:t>年度监管成本控制在预算金额以内</w:t>
            </w:r>
          </w:p>
        </w:tc>
        <w:tc>
          <w:tcPr>
            <w:tcW w:w="644" w:type="pct"/>
            <w:vAlign w:val="center"/>
          </w:tcPr>
          <w:p>
            <w:pPr>
              <w:pStyle w:val="19"/>
            </w:pPr>
            <w:r>
              <w:t>≤2.8万元</w:t>
            </w:r>
          </w:p>
        </w:tc>
        <w:tc>
          <w:tcPr>
            <w:tcW w:w="931" w:type="pct"/>
            <w:vAlign w:val="center"/>
          </w:tcPr>
          <w:p>
            <w:pPr>
              <w:pStyle w:val="19"/>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重大药品安全事件发生次数</w:t>
            </w:r>
          </w:p>
        </w:tc>
        <w:tc>
          <w:tcPr>
            <w:tcW w:w="1461" w:type="pct"/>
            <w:vAlign w:val="center"/>
          </w:tcPr>
          <w:p>
            <w:pPr>
              <w:pStyle w:val="19"/>
            </w:pPr>
            <w:r>
              <w:t>考核本年度是否发生重大药品安全事件</w:t>
            </w:r>
          </w:p>
        </w:tc>
        <w:tc>
          <w:tcPr>
            <w:tcW w:w="644" w:type="pct"/>
            <w:vAlign w:val="center"/>
          </w:tcPr>
          <w:p>
            <w:pPr>
              <w:pStyle w:val="19"/>
            </w:pPr>
            <w:r>
              <w:t>0次</w:t>
            </w:r>
          </w:p>
        </w:tc>
        <w:tc>
          <w:tcPr>
            <w:tcW w:w="931" w:type="pct"/>
            <w:vAlign w:val="center"/>
          </w:tcPr>
          <w:p>
            <w:pPr>
              <w:pStyle w:val="1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0"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考核项目单位相关管理机制建立健全情况</w:t>
            </w:r>
          </w:p>
        </w:tc>
        <w:tc>
          <w:tcPr>
            <w:tcW w:w="644" w:type="pct"/>
            <w:vAlign w:val="center"/>
          </w:tcPr>
          <w:p>
            <w:pPr>
              <w:pStyle w:val="19"/>
            </w:pPr>
            <w:r>
              <w:t>健全</w:t>
            </w:r>
          </w:p>
        </w:tc>
        <w:tc>
          <w:tcPr>
            <w:tcW w:w="931" w:type="pct"/>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4"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群众满意度</w:t>
            </w:r>
          </w:p>
        </w:tc>
        <w:tc>
          <w:tcPr>
            <w:tcW w:w="1461" w:type="pct"/>
            <w:vAlign w:val="center"/>
          </w:tcPr>
          <w:p>
            <w:pPr>
              <w:pStyle w:val="19"/>
            </w:pPr>
            <w:r>
              <w:t>考核群众（消费者）对药械化妆品安全监管工作的满意程度</w:t>
            </w:r>
          </w:p>
        </w:tc>
        <w:tc>
          <w:tcPr>
            <w:tcW w:w="644" w:type="pct"/>
            <w:vAlign w:val="center"/>
          </w:tcPr>
          <w:p>
            <w:pPr>
              <w:pStyle w:val="19"/>
            </w:pPr>
            <w:r>
              <w:t>≥90%</w:t>
            </w:r>
          </w:p>
        </w:tc>
        <w:tc>
          <w:tcPr>
            <w:tcW w:w="931" w:type="pct"/>
            <w:vAlign w:val="center"/>
          </w:tcPr>
          <w:p>
            <w:pPr>
              <w:pStyle w:val="19"/>
            </w:pPr>
            <w:r>
              <w:t>调查问卷</w:t>
            </w:r>
          </w:p>
        </w:tc>
      </w:tr>
    </w:tbl>
    <w:p>
      <w:pPr>
        <w:sectPr>
          <w:pgSz w:w="16840" w:h="11900" w:orient="landscape"/>
          <w:pgMar w:top="1304" w:right="1984" w:bottom="1304" w:left="1134" w:header="720" w:footer="720" w:gutter="0"/>
          <w:cols w:space="720" w:num="1"/>
        </w:sectPr>
      </w:pPr>
    </w:p>
    <w:p>
      <w:r>
        <w:t xml:space="preserve"> </w:t>
      </w:r>
    </w:p>
    <w:p>
      <w:pPr>
        <w:numPr>
          <w:ilvl w:val="0"/>
          <w:numId w:val="0"/>
        </w:numPr>
        <w:ind w:left="560" w:leftChars="0"/>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14.</w:t>
      </w:r>
      <w:r>
        <w:rPr>
          <w:rFonts w:ascii="方正仿宋_GBK" w:hAnsi="方正仿宋_GBK" w:eastAsia="方正仿宋_GBK" w:cs="方正仿宋_GBK"/>
          <w:color w:val="000000"/>
          <w:sz w:val="28"/>
        </w:rPr>
        <w:t>质量安全监管经费绩效目标表</w:t>
      </w:r>
    </w:p>
    <w:p>
      <w:pPr>
        <w:numPr>
          <w:ilvl w:val="0"/>
          <w:numId w:val="0"/>
        </w:numPr>
        <w:ind w:left="560" w:leftChars="0"/>
        <w:outlineLvl w:val="3"/>
        <w:rPr>
          <w:rFonts w:ascii="方正仿宋_GBK" w:hAnsi="方正仿宋_GBK" w:eastAsia="方正仿宋_GBK" w:cs="方正仿宋_GBK"/>
          <w:color w:val="000000"/>
          <w:sz w:val="28"/>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绩效目标</w:t>
            </w:r>
          </w:p>
        </w:tc>
        <w:tc>
          <w:tcPr>
            <w:tcW w:w="4355" w:type="pct"/>
            <w:vAlign w:val="center"/>
          </w:tcPr>
          <w:p>
            <w:pPr>
              <w:pStyle w:val="19"/>
            </w:pPr>
            <w:r>
              <w:t>1.通过质量强县宣传工作及各项监督检查工作的开展，使质量意识深入人心，营造人人关心质量的氛围，保护消费者的合法权益及生命财产安全，力促我县“质量立县、品质香河”目标的实现。</w:t>
            </w:r>
          </w:p>
          <w:p>
            <w:pPr>
              <w:pStyle w:val="19"/>
            </w:pPr>
            <w:r>
              <w:t>2.通过开展5场以上质量强县宣传及相关培训，质量强县宣传培训单次成本不高于1.94万元，检查检测机构12家，实现检测机构全覆盖，标准器检测准确率达100%，重点特种设备使用单位检查率达到50%，非重点特种设备使用单位检查率不低于5%，相关人员对公共服务质量的满意度不低于90%，12月底前完成项目且相关管理机制健全，质量强县指标排名B类以上。</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8"/>
            </w:pPr>
            <w:r>
              <w:t>一级指标</w:t>
            </w:r>
          </w:p>
        </w:tc>
        <w:tc>
          <w:tcPr>
            <w:tcW w:w="644" w:type="pct"/>
            <w:vAlign w:val="center"/>
          </w:tcPr>
          <w:p>
            <w:pPr>
              <w:pStyle w:val="18"/>
            </w:pPr>
            <w:r>
              <w:t>二级指标</w:t>
            </w:r>
          </w:p>
        </w:tc>
        <w:tc>
          <w:tcPr>
            <w:tcW w:w="673" w:type="pct"/>
            <w:vAlign w:val="center"/>
          </w:tcPr>
          <w:p>
            <w:pPr>
              <w:pStyle w:val="18"/>
            </w:pPr>
            <w:r>
              <w:t>三级指标</w:t>
            </w:r>
          </w:p>
        </w:tc>
        <w:tc>
          <w:tcPr>
            <w:tcW w:w="1461" w:type="pct"/>
            <w:vAlign w:val="center"/>
          </w:tcPr>
          <w:p>
            <w:pPr>
              <w:pStyle w:val="18"/>
            </w:pPr>
            <w:r>
              <w:t>绩效指标描述</w:t>
            </w:r>
          </w:p>
        </w:tc>
        <w:tc>
          <w:tcPr>
            <w:tcW w:w="644" w:type="pct"/>
            <w:vAlign w:val="center"/>
          </w:tcPr>
          <w:p>
            <w:pPr>
              <w:pStyle w:val="18"/>
            </w:pPr>
            <w:r>
              <w:t>指标值</w:t>
            </w:r>
          </w:p>
        </w:tc>
        <w:tc>
          <w:tcPr>
            <w:tcW w:w="931" w:type="pct"/>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产出指标</w:t>
            </w:r>
          </w:p>
        </w:tc>
        <w:tc>
          <w:tcPr>
            <w:tcW w:w="644" w:type="pct"/>
            <w:vAlign w:val="center"/>
          </w:tcPr>
          <w:p>
            <w:pPr>
              <w:pStyle w:val="19"/>
            </w:pPr>
            <w:r>
              <w:t>数量指标</w:t>
            </w:r>
          </w:p>
        </w:tc>
        <w:tc>
          <w:tcPr>
            <w:tcW w:w="673" w:type="pct"/>
            <w:vAlign w:val="center"/>
          </w:tcPr>
          <w:p>
            <w:pPr>
              <w:pStyle w:val="19"/>
            </w:pPr>
            <w:r>
              <w:t>质量强县宣传培训活动数量</w:t>
            </w:r>
          </w:p>
        </w:tc>
        <w:tc>
          <w:tcPr>
            <w:tcW w:w="1461" w:type="pct"/>
            <w:vAlign w:val="center"/>
          </w:tcPr>
          <w:p>
            <w:pPr>
              <w:pStyle w:val="19"/>
            </w:pPr>
            <w:r>
              <w:t>质量强县宣传及相关培训场次</w:t>
            </w:r>
          </w:p>
        </w:tc>
        <w:tc>
          <w:tcPr>
            <w:tcW w:w="644" w:type="pct"/>
            <w:vAlign w:val="center"/>
          </w:tcPr>
          <w:p>
            <w:pPr>
              <w:pStyle w:val="19"/>
            </w:pPr>
            <w:r>
              <w:t>≥5场次</w:t>
            </w:r>
          </w:p>
        </w:tc>
        <w:tc>
          <w:tcPr>
            <w:tcW w:w="931" w:type="pct"/>
            <w:vAlign w:val="center"/>
          </w:tcPr>
          <w:p>
            <w:pPr>
              <w:pStyle w:val="19"/>
            </w:pPr>
            <w:r>
              <w:t>香发【2018】21号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数量指标</w:t>
            </w:r>
          </w:p>
        </w:tc>
        <w:tc>
          <w:tcPr>
            <w:tcW w:w="673" w:type="pct"/>
            <w:vAlign w:val="center"/>
          </w:tcPr>
          <w:p>
            <w:pPr>
              <w:pStyle w:val="19"/>
            </w:pPr>
            <w:r>
              <w:t>家具抽检批次</w:t>
            </w:r>
          </w:p>
        </w:tc>
        <w:tc>
          <w:tcPr>
            <w:tcW w:w="1461" w:type="pct"/>
            <w:vAlign w:val="center"/>
          </w:tcPr>
          <w:p>
            <w:pPr>
              <w:pStyle w:val="19"/>
            </w:pPr>
            <w:r>
              <w:t>实际完成家具抽检批次</w:t>
            </w:r>
          </w:p>
        </w:tc>
        <w:tc>
          <w:tcPr>
            <w:tcW w:w="644" w:type="pct"/>
            <w:vAlign w:val="center"/>
          </w:tcPr>
          <w:p>
            <w:pPr>
              <w:pStyle w:val="19"/>
            </w:pPr>
            <w:r>
              <w:t>≥5批次</w:t>
            </w:r>
          </w:p>
        </w:tc>
        <w:tc>
          <w:tcPr>
            <w:tcW w:w="931" w:type="pct"/>
            <w:vAlign w:val="center"/>
          </w:tcPr>
          <w:p>
            <w:pPr>
              <w:pStyle w:val="19"/>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数量指标</w:t>
            </w:r>
          </w:p>
        </w:tc>
        <w:tc>
          <w:tcPr>
            <w:tcW w:w="673" w:type="pct"/>
            <w:vAlign w:val="center"/>
          </w:tcPr>
          <w:p>
            <w:pPr>
              <w:pStyle w:val="19"/>
            </w:pPr>
            <w:r>
              <w:t>检查检测机构数量</w:t>
            </w:r>
          </w:p>
        </w:tc>
        <w:tc>
          <w:tcPr>
            <w:tcW w:w="1461" w:type="pct"/>
            <w:vAlign w:val="center"/>
          </w:tcPr>
          <w:p>
            <w:pPr>
              <w:pStyle w:val="19"/>
            </w:pPr>
            <w:r>
              <w:t>2023年检测机构检查数量</w:t>
            </w:r>
          </w:p>
        </w:tc>
        <w:tc>
          <w:tcPr>
            <w:tcW w:w="644" w:type="pct"/>
            <w:vAlign w:val="center"/>
          </w:tcPr>
          <w:p>
            <w:pPr>
              <w:pStyle w:val="19"/>
            </w:pPr>
            <w:r>
              <w:t>≥12家</w:t>
            </w:r>
          </w:p>
        </w:tc>
        <w:tc>
          <w:tcPr>
            <w:tcW w:w="931" w:type="pct"/>
            <w:vAlign w:val="center"/>
          </w:tcPr>
          <w:p>
            <w:pPr>
              <w:pStyle w:val="19"/>
            </w:pPr>
            <w:r>
              <w:t>资质文件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质量指标</w:t>
            </w:r>
          </w:p>
        </w:tc>
        <w:tc>
          <w:tcPr>
            <w:tcW w:w="673" w:type="pct"/>
            <w:vAlign w:val="center"/>
          </w:tcPr>
          <w:p>
            <w:pPr>
              <w:pStyle w:val="19"/>
            </w:pPr>
            <w:r>
              <w:t>重点特种设备使用单位检查率</w:t>
            </w:r>
          </w:p>
        </w:tc>
        <w:tc>
          <w:tcPr>
            <w:tcW w:w="1461" w:type="pct"/>
            <w:vAlign w:val="center"/>
          </w:tcPr>
          <w:p>
            <w:pPr>
              <w:pStyle w:val="19"/>
            </w:pPr>
            <w:r>
              <w:t>重点特种设备使用单位实际检查数量占重点特种设备使用单位总数比例</w:t>
            </w:r>
          </w:p>
        </w:tc>
        <w:tc>
          <w:tcPr>
            <w:tcW w:w="644" w:type="pct"/>
            <w:vAlign w:val="center"/>
          </w:tcPr>
          <w:p>
            <w:pPr>
              <w:pStyle w:val="19"/>
            </w:pPr>
            <w:r>
              <w:t>≥50%</w:t>
            </w:r>
          </w:p>
        </w:tc>
        <w:tc>
          <w:tcPr>
            <w:tcW w:w="931" w:type="pct"/>
            <w:vAlign w:val="center"/>
          </w:tcPr>
          <w:p>
            <w:pPr>
              <w:pStyle w:val="19"/>
            </w:pPr>
            <w:r>
              <w:t>部门规章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44" w:type="pct"/>
            <w:vMerge w:val="continue"/>
            <w:vAlign w:val="center"/>
          </w:tcPr>
          <w:p/>
        </w:tc>
        <w:tc>
          <w:tcPr>
            <w:tcW w:w="644" w:type="pct"/>
            <w:vAlign w:val="center"/>
          </w:tcPr>
          <w:p>
            <w:pPr>
              <w:pStyle w:val="19"/>
            </w:pPr>
            <w:r>
              <w:t>时效指标</w:t>
            </w:r>
          </w:p>
        </w:tc>
        <w:tc>
          <w:tcPr>
            <w:tcW w:w="673" w:type="pct"/>
            <w:vAlign w:val="center"/>
          </w:tcPr>
          <w:p>
            <w:pPr>
              <w:pStyle w:val="19"/>
            </w:pPr>
            <w:r>
              <w:t>完成及时性</w:t>
            </w:r>
          </w:p>
        </w:tc>
        <w:tc>
          <w:tcPr>
            <w:tcW w:w="1461" w:type="pct"/>
            <w:vAlign w:val="center"/>
          </w:tcPr>
          <w:p>
            <w:pPr>
              <w:pStyle w:val="19"/>
            </w:pPr>
            <w:r>
              <w:t>考核项目是否按计划时间完成</w:t>
            </w:r>
          </w:p>
        </w:tc>
        <w:tc>
          <w:tcPr>
            <w:tcW w:w="644" w:type="pct"/>
            <w:vAlign w:val="center"/>
          </w:tcPr>
          <w:p>
            <w:pPr>
              <w:pStyle w:val="19"/>
            </w:pPr>
            <w:r>
              <w:t>≤12月</w:t>
            </w:r>
          </w:p>
        </w:tc>
        <w:tc>
          <w:tcPr>
            <w:tcW w:w="931" w:type="pct"/>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成本指标</w:t>
            </w:r>
          </w:p>
        </w:tc>
        <w:tc>
          <w:tcPr>
            <w:tcW w:w="673" w:type="pct"/>
            <w:vAlign w:val="center"/>
          </w:tcPr>
          <w:p>
            <w:pPr>
              <w:pStyle w:val="19"/>
            </w:pPr>
            <w:r>
              <w:t>监管成本</w:t>
            </w:r>
          </w:p>
        </w:tc>
        <w:tc>
          <w:tcPr>
            <w:tcW w:w="1461" w:type="pct"/>
            <w:vAlign w:val="center"/>
          </w:tcPr>
          <w:p>
            <w:pPr>
              <w:pStyle w:val="19"/>
            </w:pPr>
            <w:r>
              <w:t>年度监管成本控制在预算金额以内</w:t>
            </w:r>
          </w:p>
        </w:tc>
        <w:tc>
          <w:tcPr>
            <w:tcW w:w="644" w:type="pct"/>
            <w:vAlign w:val="center"/>
          </w:tcPr>
          <w:p>
            <w:pPr>
              <w:pStyle w:val="19"/>
            </w:pPr>
            <w:r>
              <w:t>≤30万元</w:t>
            </w:r>
          </w:p>
        </w:tc>
        <w:tc>
          <w:tcPr>
            <w:tcW w:w="931" w:type="pct"/>
            <w:vAlign w:val="center"/>
          </w:tcPr>
          <w:p>
            <w:pPr>
              <w:pStyle w:val="19"/>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0"/>
            </w:pPr>
            <w:r>
              <w:t>效益指标</w:t>
            </w:r>
          </w:p>
        </w:tc>
        <w:tc>
          <w:tcPr>
            <w:tcW w:w="644" w:type="pct"/>
            <w:vAlign w:val="center"/>
          </w:tcPr>
          <w:p>
            <w:pPr>
              <w:pStyle w:val="19"/>
            </w:pPr>
            <w:r>
              <w:t>社会效益指标</w:t>
            </w:r>
          </w:p>
        </w:tc>
        <w:tc>
          <w:tcPr>
            <w:tcW w:w="673" w:type="pct"/>
            <w:vAlign w:val="center"/>
          </w:tcPr>
          <w:p>
            <w:pPr>
              <w:pStyle w:val="19"/>
            </w:pPr>
            <w:r>
              <w:t>质量强县指标排名</w:t>
            </w:r>
          </w:p>
        </w:tc>
        <w:tc>
          <w:tcPr>
            <w:tcW w:w="1461" w:type="pct"/>
            <w:vAlign w:val="center"/>
          </w:tcPr>
          <w:p>
            <w:pPr>
              <w:pStyle w:val="19"/>
            </w:pPr>
            <w:r>
              <w:t>质量强县指标排名情况</w:t>
            </w:r>
          </w:p>
        </w:tc>
        <w:tc>
          <w:tcPr>
            <w:tcW w:w="644" w:type="pct"/>
            <w:vAlign w:val="center"/>
          </w:tcPr>
          <w:p>
            <w:pPr>
              <w:pStyle w:val="19"/>
            </w:pPr>
            <w:r>
              <w:t>B类以上</w:t>
            </w:r>
          </w:p>
        </w:tc>
        <w:tc>
          <w:tcPr>
            <w:tcW w:w="931" w:type="pct"/>
            <w:vAlign w:val="center"/>
          </w:tcPr>
          <w:p>
            <w:pPr>
              <w:pStyle w:val="19"/>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9"/>
            </w:pPr>
            <w:r>
              <w:t>可持续影响指标</w:t>
            </w:r>
          </w:p>
        </w:tc>
        <w:tc>
          <w:tcPr>
            <w:tcW w:w="673" w:type="pct"/>
            <w:vAlign w:val="center"/>
          </w:tcPr>
          <w:p>
            <w:pPr>
              <w:pStyle w:val="19"/>
            </w:pPr>
            <w:r>
              <w:t>长效管理机制健全性</w:t>
            </w:r>
          </w:p>
        </w:tc>
        <w:tc>
          <w:tcPr>
            <w:tcW w:w="1461" w:type="pct"/>
            <w:vAlign w:val="center"/>
          </w:tcPr>
          <w:p>
            <w:pPr>
              <w:pStyle w:val="19"/>
            </w:pPr>
            <w:r>
              <w:t>考核项目单位相关管理机制的建立健全情况</w:t>
            </w:r>
          </w:p>
        </w:tc>
        <w:tc>
          <w:tcPr>
            <w:tcW w:w="644" w:type="pct"/>
            <w:vAlign w:val="center"/>
          </w:tcPr>
          <w:p>
            <w:pPr>
              <w:pStyle w:val="19"/>
            </w:pPr>
            <w:r>
              <w:t>健全</w:t>
            </w:r>
          </w:p>
        </w:tc>
        <w:tc>
          <w:tcPr>
            <w:tcW w:w="931" w:type="pct"/>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0"/>
            </w:pPr>
            <w:r>
              <w:t>满意度指标</w:t>
            </w:r>
          </w:p>
        </w:tc>
        <w:tc>
          <w:tcPr>
            <w:tcW w:w="644" w:type="pct"/>
            <w:vAlign w:val="center"/>
          </w:tcPr>
          <w:p>
            <w:pPr>
              <w:pStyle w:val="19"/>
            </w:pPr>
            <w:r>
              <w:t>服务对象满意度指标</w:t>
            </w:r>
          </w:p>
        </w:tc>
        <w:tc>
          <w:tcPr>
            <w:tcW w:w="673" w:type="pct"/>
            <w:vAlign w:val="center"/>
          </w:tcPr>
          <w:p>
            <w:pPr>
              <w:pStyle w:val="19"/>
            </w:pPr>
            <w:r>
              <w:t>公共服务质量满意度</w:t>
            </w:r>
          </w:p>
        </w:tc>
        <w:tc>
          <w:tcPr>
            <w:tcW w:w="1461" w:type="pct"/>
            <w:vAlign w:val="center"/>
          </w:tcPr>
          <w:p>
            <w:pPr>
              <w:pStyle w:val="19"/>
            </w:pPr>
            <w:r>
              <w:t>相关人员对公共服务质量的满意度</w:t>
            </w:r>
          </w:p>
        </w:tc>
        <w:tc>
          <w:tcPr>
            <w:tcW w:w="644" w:type="pct"/>
            <w:vAlign w:val="center"/>
          </w:tcPr>
          <w:p>
            <w:pPr>
              <w:pStyle w:val="19"/>
            </w:pPr>
            <w:r>
              <w:t>≥90%</w:t>
            </w:r>
          </w:p>
        </w:tc>
        <w:tc>
          <w:tcPr>
            <w:tcW w:w="931" w:type="pct"/>
            <w:vAlign w:val="center"/>
          </w:tcPr>
          <w:p>
            <w:pPr>
              <w:pStyle w:val="19"/>
            </w:pPr>
            <w:r>
              <w:t>调查问卷</w:t>
            </w:r>
          </w:p>
        </w:tc>
      </w:tr>
    </w:tbl>
    <w:p>
      <w:pPr>
        <w:sectPr>
          <w:pgSz w:w="16840" w:h="11900" w:orient="landscape"/>
          <w:pgMar w:top="1304" w:right="1984" w:bottom="1304" w:left="1134"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202</w:t>
      </w:r>
      <w:r>
        <w:rPr>
          <w:rFonts w:hint="eastAsia" w:ascii="Times New Roman" w:hAnsi="Times New Roman" w:eastAsia="仿宋_GB2312" w:cs="Times New Roman"/>
          <w:sz w:val="32"/>
          <w:szCs w:val="24"/>
        </w:rPr>
        <w:t>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130</w:t>
      </w:r>
      <w:r>
        <w:rPr>
          <w:rFonts w:ascii="Times New Roman" w:hAnsi="Times New Roman" w:eastAsia="仿宋_GB2312" w:cs="Times New Roman"/>
          <w:sz w:val="32"/>
          <w:szCs w:val="24"/>
        </w:rPr>
        <w:t>万元。具体内容见下表。</w:t>
      </w:r>
    </w:p>
    <w:bookmarkEnd w:id="0"/>
    <w:p>
      <w:pPr>
        <w:jc w:val="center"/>
        <w:outlineLvl w:val="1"/>
        <w:rPr>
          <w:rFonts w:ascii="Times New Roman" w:hAnsi="Times New Roman" w:cs="Times New Roman"/>
          <w:sz w:val="28"/>
          <w:szCs w:val="28"/>
        </w:rPr>
      </w:pPr>
      <w:bookmarkStart w:id="1" w:name="_Toc64920910"/>
      <w:r>
        <w:rPr>
          <w:rFonts w:hint="eastAsia" w:ascii="方正小标宋_GBK" w:eastAsia="方正小标宋_GBK" w:cs="Times New Roman"/>
          <w:sz w:val="28"/>
          <w:szCs w:val="28"/>
          <w:lang w:val="en-US" w:eastAsia="zh-CN"/>
        </w:rPr>
        <w:t>单位</w:t>
      </w:r>
      <w:r>
        <w:rPr>
          <w:rFonts w:hint="eastAsia" w:ascii="方正小标宋_GBK" w:eastAsia="方正小标宋_GBK" w:cs="Times New Roman"/>
          <w:sz w:val="28"/>
          <w:szCs w:val="28"/>
        </w:rPr>
        <w:t>政府采购预算</w:t>
      </w:r>
      <w:bookmarkEnd w:id="1"/>
    </w:p>
    <w:p>
      <w:pPr>
        <w:autoSpaceDE w:val="0"/>
        <w:autoSpaceDN w:val="0"/>
        <w:adjustRightInd w:val="0"/>
        <w:spacing w:line="584" w:lineRule="exact"/>
        <w:jc w:val="both"/>
        <w:rPr>
          <w:rFonts w:ascii="Times New Roman" w:hAnsi="Times New Roman" w:eastAsia="黑体" w:cs="Times New Roman"/>
          <w:sz w:val="32"/>
          <w:szCs w:val="32"/>
        </w:rPr>
      </w:pPr>
      <w:r>
        <w:rPr>
          <w:rFonts w:ascii="方正小标宋_GBK" w:eastAsia="方正小标宋_GBK" w:cs="Times New Roman"/>
          <w:sz w:val="24"/>
        </w:rPr>
        <w:t>香河县</w:t>
      </w:r>
      <w:r>
        <w:rPr>
          <w:rFonts w:hint="eastAsia" w:ascii="方正小标宋_GBK" w:eastAsia="方正小标宋_GBK"/>
          <w:sz w:val="24"/>
        </w:rPr>
        <w:t>市场监督管理局</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8"/>
              <w:spacing w:line="584" w:lineRule="exact"/>
            </w:pPr>
            <w:r>
              <w:t>政府采购项目来源</w:t>
            </w:r>
          </w:p>
        </w:tc>
        <w:tc>
          <w:tcPr>
            <w:tcW w:w="1134" w:type="dxa"/>
            <w:vMerge w:val="restart"/>
            <w:vAlign w:val="center"/>
          </w:tcPr>
          <w:p>
            <w:pPr>
              <w:pStyle w:val="18"/>
              <w:spacing w:line="584" w:lineRule="exact"/>
            </w:pPr>
            <w:r>
              <w:t>采购物品名称</w:t>
            </w:r>
          </w:p>
        </w:tc>
        <w:tc>
          <w:tcPr>
            <w:tcW w:w="1134" w:type="dxa"/>
            <w:vMerge w:val="restart"/>
            <w:vAlign w:val="center"/>
          </w:tcPr>
          <w:p>
            <w:pPr>
              <w:pStyle w:val="18"/>
              <w:spacing w:line="584" w:lineRule="exact"/>
            </w:pPr>
            <w:r>
              <w:t>政府采购目录序号</w:t>
            </w:r>
          </w:p>
        </w:tc>
        <w:tc>
          <w:tcPr>
            <w:tcW w:w="709" w:type="dxa"/>
            <w:vMerge w:val="restart"/>
            <w:vAlign w:val="center"/>
          </w:tcPr>
          <w:p>
            <w:pPr>
              <w:pStyle w:val="18"/>
              <w:spacing w:line="584" w:lineRule="exact"/>
            </w:pPr>
            <w:r>
              <w:t>计量  单位</w:t>
            </w:r>
          </w:p>
        </w:tc>
        <w:tc>
          <w:tcPr>
            <w:tcW w:w="850" w:type="dxa"/>
            <w:vMerge w:val="restart"/>
            <w:vAlign w:val="center"/>
          </w:tcPr>
          <w:p>
            <w:pPr>
              <w:pStyle w:val="18"/>
              <w:spacing w:line="584" w:lineRule="exact"/>
            </w:pPr>
            <w:r>
              <w:t>数量</w:t>
            </w:r>
          </w:p>
        </w:tc>
        <w:tc>
          <w:tcPr>
            <w:tcW w:w="850" w:type="dxa"/>
            <w:vMerge w:val="restart"/>
            <w:vAlign w:val="center"/>
          </w:tcPr>
          <w:p>
            <w:pPr>
              <w:pStyle w:val="18"/>
              <w:spacing w:line="584" w:lineRule="exact"/>
            </w:pPr>
            <w:r>
              <w:t>单价</w:t>
            </w:r>
          </w:p>
        </w:tc>
        <w:tc>
          <w:tcPr>
            <w:tcW w:w="7712" w:type="dxa"/>
            <w:gridSpan w:val="8"/>
            <w:vAlign w:val="center"/>
          </w:tcPr>
          <w:p>
            <w:pPr>
              <w:pStyle w:val="18"/>
              <w:spacing w:line="584" w:lineRule="exact"/>
            </w:pPr>
            <w:r>
              <w:t>政府采购金额（当年部门预算安排资金）</w:t>
            </w:r>
          </w:p>
        </w:tc>
        <w:tc>
          <w:tcPr>
            <w:tcW w:w="964" w:type="dxa"/>
            <w:vMerge w:val="restart"/>
            <w:vAlign w:val="center"/>
          </w:tcPr>
          <w:p>
            <w:pPr>
              <w:pStyle w:val="18"/>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3" w:hRule="atLeast"/>
          <w:tblHeader/>
          <w:jc w:val="center"/>
        </w:trPr>
        <w:tc>
          <w:tcPr>
            <w:tcW w:w="1097" w:type="dxa"/>
            <w:vAlign w:val="center"/>
          </w:tcPr>
          <w:p>
            <w:pPr>
              <w:pStyle w:val="18"/>
              <w:spacing w:line="584" w:lineRule="exact"/>
            </w:pPr>
            <w:r>
              <w:t>项目名称</w:t>
            </w:r>
          </w:p>
        </w:tc>
        <w:tc>
          <w:tcPr>
            <w:tcW w:w="964" w:type="dxa"/>
            <w:vAlign w:val="center"/>
          </w:tcPr>
          <w:p>
            <w:pPr>
              <w:pStyle w:val="18"/>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8"/>
              <w:spacing w:line="584" w:lineRule="exact"/>
            </w:pPr>
            <w:r>
              <w:t>合计</w:t>
            </w:r>
          </w:p>
        </w:tc>
        <w:tc>
          <w:tcPr>
            <w:tcW w:w="964" w:type="dxa"/>
            <w:vAlign w:val="center"/>
          </w:tcPr>
          <w:p>
            <w:pPr>
              <w:pStyle w:val="18"/>
              <w:spacing w:line="584" w:lineRule="exact"/>
            </w:pPr>
            <w:r>
              <w:t>一般公共预算拨款</w:t>
            </w:r>
          </w:p>
        </w:tc>
        <w:tc>
          <w:tcPr>
            <w:tcW w:w="964" w:type="dxa"/>
            <w:vAlign w:val="center"/>
          </w:tcPr>
          <w:p>
            <w:pPr>
              <w:pStyle w:val="18"/>
              <w:spacing w:line="584" w:lineRule="exact"/>
            </w:pPr>
            <w:r>
              <w:t>基金预算拨款</w:t>
            </w:r>
          </w:p>
        </w:tc>
        <w:tc>
          <w:tcPr>
            <w:tcW w:w="964" w:type="dxa"/>
            <w:vAlign w:val="center"/>
          </w:tcPr>
          <w:p>
            <w:pPr>
              <w:pStyle w:val="18"/>
              <w:spacing w:line="584" w:lineRule="exact"/>
            </w:pPr>
            <w:r>
              <w:t>国有资本经营预算拨款</w:t>
            </w:r>
          </w:p>
        </w:tc>
        <w:tc>
          <w:tcPr>
            <w:tcW w:w="964" w:type="dxa"/>
            <w:vAlign w:val="center"/>
          </w:tcPr>
          <w:p>
            <w:pPr>
              <w:pStyle w:val="18"/>
              <w:spacing w:line="584" w:lineRule="exact"/>
            </w:pPr>
            <w:r>
              <w:t>财政专户核拨</w:t>
            </w:r>
          </w:p>
        </w:tc>
        <w:tc>
          <w:tcPr>
            <w:tcW w:w="964" w:type="dxa"/>
            <w:vAlign w:val="center"/>
          </w:tcPr>
          <w:p>
            <w:pPr>
              <w:pStyle w:val="18"/>
              <w:spacing w:line="584" w:lineRule="exact"/>
            </w:pPr>
            <w:r>
              <w:t>单位    资金</w:t>
            </w:r>
          </w:p>
        </w:tc>
        <w:tc>
          <w:tcPr>
            <w:tcW w:w="964" w:type="dxa"/>
            <w:vAlign w:val="center"/>
          </w:tcPr>
          <w:p>
            <w:pPr>
              <w:pStyle w:val="18"/>
              <w:spacing w:line="584" w:lineRule="exact"/>
            </w:pPr>
            <w:r>
              <w:t>财政拨    款结转</w:t>
            </w:r>
          </w:p>
        </w:tc>
        <w:tc>
          <w:tcPr>
            <w:tcW w:w="964" w:type="dxa"/>
            <w:vAlign w:val="center"/>
          </w:tcPr>
          <w:p>
            <w:pPr>
              <w:pStyle w:val="18"/>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6"/>
              <w:spacing w:line="584" w:lineRule="exact"/>
            </w:pPr>
            <w:r>
              <w:t>合  计</w:t>
            </w:r>
          </w:p>
        </w:tc>
        <w:tc>
          <w:tcPr>
            <w:tcW w:w="964" w:type="dxa"/>
            <w:vAlign w:val="center"/>
          </w:tcPr>
          <w:p>
            <w:pPr>
              <w:pStyle w:val="27"/>
              <w:spacing w:line="584" w:lineRule="exact"/>
            </w:pPr>
          </w:p>
        </w:tc>
        <w:tc>
          <w:tcPr>
            <w:tcW w:w="1134" w:type="dxa"/>
            <w:vAlign w:val="center"/>
          </w:tcPr>
          <w:p>
            <w:pPr>
              <w:pStyle w:val="16"/>
              <w:spacing w:line="584" w:lineRule="exact"/>
            </w:pPr>
          </w:p>
        </w:tc>
        <w:tc>
          <w:tcPr>
            <w:tcW w:w="1134" w:type="dxa"/>
            <w:vAlign w:val="center"/>
          </w:tcPr>
          <w:p>
            <w:pPr>
              <w:pStyle w:val="16"/>
              <w:spacing w:line="584" w:lineRule="exact"/>
            </w:pPr>
          </w:p>
        </w:tc>
        <w:tc>
          <w:tcPr>
            <w:tcW w:w="709" w:type="dxa"/>
            <w:vAlign w:val="center"/>
          </w:tcPr>
          <w:p>
            <w:pPr>
              <w:pStyle w:val="26"/>
              <w:spacing w:line="584" w:lineRule="exact"/>
            </w:pPr>
          </w:p>
        </w:tc>
        <w:tc>
          <w:tcPr>
            <w:tcW w:w="850" w:type="dxa"/>
            <w:vAlign w:val="center"/>
          </w:tcPr>
          <w:p>
            <w:pPr>
              <w:pStyle w:val="27"/>
              <w:spacing w:line="584" w:lineRule="exact"/>
            </w:pPr>
          </w:p>
        </w:tc>
        <w:tc>
          <w:tcPr>
            <w:tcW w:w="850" w:type="dxa"/>
            <w:vAlign w:val="center"/>
          </w:tcPr>
          <w:p>
            <w:pPr>
              <w:pStyle w:val="27"/>
              <w:spacing w:line="584" w:lineRule="exact"/>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130.00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130.00</w:t>
            </w:r>
          </w:p>
        </w:tc>
        <w:tc>
          <w:tcPr>
            <w:tcW w:w="964" w:type="dxa"/>
            <w:vAlign w:val="center"/>
          </w:tcPr>
          <w:p>
            <w:pPr>
              <w:pStyle w:val="27"/>
              <w:spacing w:line="584" w:lineRule="exact"/>
            </w:pPr>
          </w:p>
        </w:tc>
        <w:tc>
          <w:tcPr>
            <w:tcW w:w="964" w:type="dxa"/>
            <w:vAlign w:val="center"/>
          </w:tcPr>
          <w:p>
            <w:pPr>
              <w:pStyle w:val="27"/>
              <w:spacing w:line="584" w:lineRule="exact"/>
            </w:pPr>
          </w:p>
        </w:tc>
        <w:tc>
          <w:tcPr>
            <w:tcW w:w="964" w:type="dxa"/>
            <w:vAlign w:val="center"/>
          </w:tcPr>
          <w:p>
            <w:pPr>
              <w:pStyle w:val="27"/>
              <w:spacing w:line="584" w:lineRule="exact"/>
            </w:pPr>
          </w:p>
        </w:tc>
        <w:tc>
          <w:tcPr>
            <w:tcW w:w="964" w:type="dxa"/>
            <w:vAlign w:val="center"/>
          </w:tcPr>
          <w:p>
            <w:pPr>
              <w:pStyle w:val="27"/>
              <w:spacing w:line="584" w:lineRule="exact"/>
            </w:pPr>
          </w:p>
        </w:tc>
        <w:tc>
          <w:tcPr>
            <w:tcW w:w="964" w:type="dxa"/>
            <w:vAlign w:val="center"/>
          </w:tcPr>
          <w:p>
            <w:pPr>
              <w:pStyle w:val="27"/>
              <w:spacing w:line="584" w:lineRule="exact"/>
            </w:pPr>
          </w:p>
        </w:tc>
        <w:tc>
          <w:tcPr>
            <w:tcW w:w="964" w:type="dxa"/>
            <w:vAlign w:val="center"/>
          </w:tcPr>
          <w:p>
            <w:pPr>
              <w:pStyle w:val="27"/>
              <w:spacing w:line="584" w:lineRule="exact"/>
            </w:pPr>
          </w:p>
        </w:tc>
        <w:tc>
          <w:tcPr>
            <w:tcW w:w="964" w:type="dxa"/>
            <w:vAlign w:val="center"/>
          </w:tcPr>
          <w:p>
            <w:pPr>
              <w:pStyle w:val="27"/>
              <w:spacing w:line="584" w:lineRule="exact"/>
              <w:rPr>
                <w:rFonts w:hint="default" w:eastAsia="方正书宋_GBK"/>
                <w:b w:val="0"/>
                <w:bCs/>
                <w:lang w:val="en-US" w:eastAsia="zh-CN"/>
              </w:rPr>
            </w:pPr>
            <w:r>
              <w:rPr>
                <w:rFonts w:hint="eastAsia"/>
                <w:b w:val="0"/>
                <w:bCs/>
                <w:lang w:val="en-US" w:eastAsia="zh-CN"/>
              </w:rP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rPr>
                <w:rFonts w:ascii="方正书宋_GBK" w:hAnsi="方正书宋_GBK" w:eastAsia="方正书宋_GBK" w:cs="方正书宋_GBK"/>
                <w:kern w:val="0"/>
                <w:sz w:val="21"/>
                <w:szCs w:val="24"/>
                <w:lang w:val="en-US" w:eastAsia="uk-UA" w:bidi="ar-SA"/>
              </w:rPr>
            </w:pPr>
            <w:r>
              <w:t>食品抽检经费</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130.00</w:t>
            </w:r>
          </w:p>
        </w:tc>
        <w:tc>
          <w:tcPr>
            <w:tcW w:w="1134" w:type="dxa"/>
            <w:vAlign w:val="center"/>
          </w:tcPr>
          <w:p>
            <w:pPr>
              <w:pStyle w:val="19"/>
              <w:rPr>
                <w:rFonts w:ascii="方正书宋_GBK" w:hAnsi="方正书宋_GBK" w:eastAsia="方正书宋_GBK" w:cs="方正书宋_GBK"/>
                <w:kern w:val="0"/>
                <w:sz w:val="21"/>
                <w:szCs w:val="24"/>
                <w:lang w:val="en-US" w:eastAsia="uk-UA" w:bidi="ar-SA"/>
              </w:rPr>
            </w:pPr>
            <w:r>
              <w:t>技术测试和分析服务</w:t>
            </w:r>
          </w:p>
        </w:tc>
        <w:tc>
          <w:tcPr>
            <w:tcW w:w="1134" w:type="dxa"/>
            <w:vAlign w:val="center"/>
          </w:tcPr>
          <w:p>
            <w:pPr>
              <w:pStyle w:val="19"/>
              <w:rPr>
                <w:rFonts w:ascii="方正书宋_GBK" w:hAnsi="方正书宋_GBK" w:eastAsia="方正书宋_GBK" w:cs="方正书宋_GBK"/>
                <w:kern w:val="0"/>
                <w:sz w:val="21"/>
                <w:szCs w:val="24"/>
                <w:lang w:val="en-US" w:eastAsia="zh-CN" w:bidi="ar-SA"/>
              </w:rPr>
            </w:pPr>
            <w:r>
              <w:t>C</w:t>
            </w:r>
            <w:r>
              <w:rPr>
                <w:rFonts w:hint="eastAsia"/>
                <w:lang w:eastAsia="zh-CN"/>
              </w:rPr>
              <w:t>1</w:t>
            </w:r>
            <w:r>
              <w:t>901</w:t>
            </w:r>
            <w:r>
              <w:rPr>
                <w:rFonts w:hint="eastAsia"/>
                <w:lang w:eastAsia="zh-CN"/>
              </w:rPr>
              <w:t>0000</w:t>
            </w:r>
          </w:p>
        </w:tc>
        <w:tc>
          <w:tcPr>
            <w:tcW w:w="709" w:type="dxa"/>
            <w:vAlign w:val="center"/>
          </w:tcPr>
          <w:p>
            <w:pPr>
              <w:pStyle w:val="20"/>
              <w:rPr>
                <w:rFonts w:ascii="方正书宋_GBK" w:hAnsi="方正书宋_GBK" w:eastAsia="方正书宋_GBK" w:cs="方正书宋_GBK"/>
                <w:kern w:val="0"/>
                <w:sz w:val="21"/>
                <w:szCs w:val="24"/>
                <w:lang w:val="en-US" w:eastAsia="uk-UA" w:bidi="ar-SA"/>
              </w:rPr>
            </w:pPr>
            <w:r>
              <w:t>万元</w:t>
            </w:r>
          </w:p>
        </w:tc>
        <w:tc>
          <w:tcPr>
            <w:tcW w:w="850" w:type="dxa"/>
            <w:vAlign w:val="center"/>
          </w:tcPr>
          <w:p>
            <w:pPr>
              <w:spacing w:line="300" w:lineRule="exact"/>
              <w:jc w:val="right"/>
              <w:rPr>
                <w:rFonts w:ascii="方正书宋_GBK" w:hAnsi="Calibri" w:eastAsia="方正书宋_GBK" w:cs="Times New Roman"/>
                <w:kern w:val="2"/>
                <w:sz w:val="21"/>
                <w:szCs w:val="22"/>
                <w:lang w:val="en-US" w:eastAsia="zh-CN" w:bidi="ar-SA"/>
              </w:rPr>
            </w:pPr>
            <w:r>
              <w:rPr>
                <w:rFonts w:hint="eastAsia" w:ascii="方正书宋_GBK" w:eastAsia="方正书宋_GBK" w:cs="Times New Roman"/>
              </w:rP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130.00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130.00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130.00</w:t>
            </w:r>
          </w:p>
        </w:tc>
        <w:tc>
          <w:tcPr>
            <w:tcW w:w="964" w:type="dxa"/>
            <w:vAlign w:val="center"/>
          </w:tcPr>
          <w:p>
            <w:pPr>
              <w:spacing w:line="300" w:lineRule="exact"/>
              <w:jc w:val="right"/>
              <w:rPr>
                <w:rFonts w:ascii="方正书宋_GBK" w:hAnsi="Calibri" w:eastAsia="方正书宋_GBK" w:cs="Times New Roman"/>
                <w:kern w:val="2"/>
                <w:sz w:val="21"/>
                <w:szCs w:val="22"/>
                <w:lang w:val="en-US" w:eastAsia="zh-CN" w:bidi="ar-SA"/>
              </w:rPr>
            </w:pPr>
          </w:p>
        </w:tc>
        <w:tc>
          <w:tcPr>
            <w:tcW w:w="964" w:type="dxa"/>
            <w:vAlign w:val="center"/>
          </w:tcPr>
          <w:p>
            <w:pPr>
              <w:pStyle w:val="27"/>
              <w:spacing w:line="584" w:lineRule="exact"/>
            </w:pPr>
          </w:p>
        </w:tc>
        <w:tc>
          <w:tcPr>
            <w:tcW w:w="964" w:type="dxa"/>
            <w:vAlign w:val="center"/>
          </w:tcPr>
          <w:p>
            <w:pPr>
              <w:pStyle w:val="27"/>
              <w:spacing w:line="584" w:lineRule="exact"/>
            </w:pPr>
          </w:p>
        </w:tc>
        <w:tc>
          <w:tcPr>
            <w:tcW w:w="964" w:type="dxa"/>
            <w:vAlign w:val="center"/>
          </w:tcPr>
          <w:p>
            <w:pPr>
              <w:pStyle w:val="27"/>
              <w:spacing w:line="584" w:lineRule="exact"/>
            </w:pPr>
          </w:p>
        </w:tc>
        <w:tc>
          <w:tcPr>
            <w:tcW w:w="964" w:type="dxa"/>
            <w:vAlign w:val="center"/>
          </w:tcPr>
          <w:p>
            <w:pPr>
              <w:pStyle w:val="27"/>
              <w:spacing w:line="584" w:lineRule="exact"/>
            </w:pPr>
          </w:p>
        </w:tc>
        <w:tc>
          <w:tcPr>
            <w:tcW w:w="964" w:type="dxa"/>
            <w:vAlign w:val="center"/>
          </w:tcPr>
          <w:p>
            <w:pPr>
              <w:pStyle w:val="27"/>
              <w:spacing w:line="584" w:lineRule="exact"/>
            </w:pPr>
          </w:p>
        </w:tc>
        <w:tc>
          <w:tcPr>
            <w:tcW w:w="964" w:type="dxa"/>
            <w:vAlign w:val="center"/>
          </w:tcPr>
          <w:p>
            <w:pPr>
              <w:pStyle w:val="27"/>
              <w:spacing w:line="584" w:lineRule="exact"/>
              <w:rPr>
                <w:rFonts w:hint="default" w:eastAsia="方正书宋_GBK"/>
                <w:lang w:val="en-US" w:eastAsia="zh-CN"/>
              </w:rPr>
            </w:pPr>
            <w:r>
              <w:rPr>
                <w:rFonts w:hint="eastAsia"/>
                <w:b w:val="0"/>
                <w:bCs/>
                <w:lang w:val="en-US" w:eastAsia="zh-CN"/>
              </w:rP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7"/>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autoSpaceDE w:val="0"/>
        <w:autoSpaceDN w:val="0"/>
        <w:adjustRightInd w:val="0"/>
        <w:spacing w:line="584" w:lineRule="exact"/>
        <w:ind w:firstLine="420" w:firstLineChars="200"/>
        <w:jc w:val="left"/>
        <w:rPr>
          <w:rFonts w:ascii="Times New Roman" w:hAnsi="Times New Roman" w:eastAsia="黑体" w:cs="Times New Roman"/>
          <w:sz w:val="32"/>
          <w:szCs w:val="32"/>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1915.76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单位无拟购置固定资产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市场监督管理局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1915.76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6161.38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476.98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4,203.38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441.03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1173.58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w:t>
      </w:r>
      <w:bookmarkStart w:id="2" w:name="_GoBack"/>
      <w:bookmarkEnd w:id="2"/>
      <w:r>
        <w:rPr>
          <w:rFonts w:ascii="Times New Roman" w:hAnsi="Times New Roman" w:eastAsia="仿宋_GB2312" w:cs="Times New Roman"/>
          <w:sz w:val="32"/>
          <w:szCs w:val="32"/>
        </w:rPr>
        <w:t>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9020A6"/>
    <w:multiLevelType w:val="multilevel"/>
    <w:tmpl w:val="439020A6"/>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6BC1A4B"/>
    <w:multiLevelType w:val="singleLevel"/>
    <w:tmpl w:val="56BC1A4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k1NjNmYmZlOTY3ZDQ5NWRmNGQ3YzlhZTYzYjUzOWEifQ=="/>
  </w:docVars>
  <w:rsids>
    <w:rsidRoot w:val="00D347CC"/>
    <w:rsid w:val="00007D86"/>
    <w:rsid w:val="000103BC"/>
    <w:rsid w:val="00036CCD"/>
    <w:rsid w:val="000724DB"/>
    <w:rsid w:val="000F051B"/>
    <w:rsid w:val="00102611"/>
    <w:rsid w:val="00171E79"/>
    <w:rsid w:val="001C1ECC"/>
    <w:rsid w:val="0023274E"/>
    <w:rsid w:val="002C7716"/>
    <w:rsid w:val="00337B50"/>
    <w:rsid w:val="003D4115"/>
    <w:rsid w:val="003E7E22"/>
    <w:rsid w:val="0040730D"/>
    <w:rsid w:val="004157A2"/>
    <w:rsid w:val="004A34CA"/>
    <w:rsid w:val="004A54AA"/>
    <w:rsid w:val="004D7427"/>
    <w:rsid w:val="004F2381"/>
    <w:rsid w:val="00507778"/>
    <w:rsid w:val="005759CA"/>
    <w:rsid w:val="006E2522"/>
    <w:rsid w:val="00741520"/>
    <w:rsid w:val="00744265"/>
    <w:rsid w:val="00783728"/>
    <w:rsid w:val="00820171"/>
    <w:rsid w:val="008214B0"/>
    <w:rsid w:val="00846C31"/>
    <w:rsid w:val="008841CA"/>
    <w:rsid w:val="008B1F94"/>
    <w:rsid w:val="008B75D1"/>
    <w:rsid w:val="008D036A"/>
    <w:rsid w:val="00903AEF"/>
    <w:rsid w:val="00940421"/>
    <w:rsid w:val="009C0E60"/>
    <w:rsid w:val="009E1FCD"/>
    <w:rsid w:val="00A95137"/>
    <w:rsid w:val="00AB1BD0"/>
    <w:rsid w:val="00AC06ED"/>
    <w:rsid w:val="00B12C28"/>
    <w:rsid w:val="00B33DB1"/>
    <w:rsid w:val="00B70E74"/>
    <w:rsid w:val="00B72CBF"/>
    <w:rsid w:val="00B80935"/>
    <w:rsid w:val="00B81206"/>
    <w:rsid w:val="00C028C6"/>
    <w:rsid w:val="00C50D45"/>
    <w:rsid w:val="00D347CC"/>
    <w:rsid w:val="00D85035"/>
    <w:rsid w:val="00D93B18"/>
    <w:rsid w:val="00E24FB3"/>
    <w:rsid w:val="00E34D1A"/>
    <w:rsid w:val="00EA5121"/>
    <w:rsid w:val="00EB5A87"/>
    <w:rsid w:val="00ED59B4"/>
    <w:rsid w:val="00EE67B1"/>
    <w:rsid w:val="00F04CCB"/>
    <w:rsid w:val="00F413F2"/>
    <w:rsid w:val="00F47729"/>
    <w:rsid w:val="00F85553"/>
    <w:rsid w:val="06AB6ADB"/>
    <w:rsid w:val="07EF6890"/>
    <w:rsid w:val="096A5B15"/>
    <w:rsid w:val="25FF1B34"/>
    <w:rsid w:val="279839C7"/>
    <w:rsid w:val="2CE41F9B"/>
    <w:rsid w:val="2DB93DA4"/>
    <w:rsid w:val="34A061F8"/>
    <w:rsid w:val="4830416D"/>
    <w:rsid w:val="48B00D40"/>
    <w:rsid w:val="4D937EE2"/>
    <w:rsid w:val="4EFB0CBF"/>
    <w:rsid w:val="52033FF4"/>
    <w:rsid w:val="52D27C48"/>
    <w:rsid w:val="52F75711"/>
    <w:rsid w:val="539D7D57"/>
    <w:rsid w:val="575E3580"/>
    <w:rsid w:val="581774A9"/>
    <w:rsid w:val="5A764DA4"/>
    <w:rsid w:val="646A4041"/>
    <w:rsid w:val="66D16413"/>
    <w:rsid w:val="67FF5EA0"/>
    <w:rsid w:val="690600B1"/>
    <w:rsid w:val="716B3E9A"/>
    <w:rsid w:val="7BDF764E"/>
    <w:rsid w:val="7BFF6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character" w:customStyle="1" w:styleId="11">
    <w:name w:val="页脚 Char"/>
    <w:basedOn w:val="9"/>
    <w:link w:val="3"/>
    <w:qFormat/>
    <w:uiPriority w:val="99"/>
    <w:rPr>
      <w:kern w:val="2"/>
      <w:sz w:val="18"/>
      <w:szCs w:val="18"/>
    </w:rPr>
  </w:style>
  <w:style w:type="character" w:customStyle="1" w:styleId="12">
    <w:name w:val="页眉 Char"/>
    <w:basedOn w:val="9"/>
    <w:link w:val="4"/>
    <w:qFormat/>
    <w:uiPriority w:val="99"/>
    <w:rPr>
      <w:kern w:val="2"/>
      <w:sz w:val="18"/>
      <w:szCs w:val="18"/>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23">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24">
    <w:name w:val="TOC 1"/>
    <w:basedOn w:val="1"/>
    <w:qFormat/>
    <w:uiPriority w:val="0"/>
    <w:pPr>
      <w:widowControl/>
      <w:spacing w:before="120"/>
      <w:jc w:val="left"/>
    </w:pPr>
    <w:rPr>
      <w:rFonts w:ascii="Times New Roman" w:hAnsi="Times New Roman" w:eastAsia="方正仿宋_GBK" w:cs="Times New Roman"/>
      <w:color w:val="000000"/>
      <w:kern w:val="0"/>
      <w:sz w:val="28"/>
      <w:szCs w:val="24"/>
      <w:lang w:eastAsia="uk-UA"/>
    </w:rPr>
  </w:style>
  <w:style w:type="paragraph" w:styleId="25">
    <w:name w:val="List Paragraph"/>
    <w:basedOn w:val="1"/>
    <w:unhideWhenUsed/>
    <w:qFormat/>
    <w:uiPriority w:val="99"/>
    <w:pPr>
      <w:ind w:firstLine="420" w:firstLineChars="200"/>
    </w:p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32</Pages>
  <Words>15891</Words>
  <Characters>16428</Characters>
  <Lines>156</Lines>
  <Paragraphs>44</Paragraphs>
  <TotalTime>9</TotalTime>
  <ScaleCrop>false</ScaleCrop>
  <LinksUpToDate>false</LinksUpToDate>
  <CharactersWithSpaces>16567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小小</cp:lastModifiedBy>
  <cp:lastPrinted>2018-01-30T06:12:00Z</cp:lastPrinted>
  <dcterms:modified xsi:type="dcterms:W3CDTF">2023-09-18T08:43:19Z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8D50DE0DCCEC41F79D65C4AEC4172EAC_13</vt:lpwstr>
  </property>
</Properties>
</file>